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6E2981">
        <w:rPr>
          <w:rFonts w:cstheme="minorHAnsi"/>
        </w:rPr>
        <w:t>0</w:t>
      </w:r>
      <w:r w:rsidR="006D0BE4">
        <w:rPr>
          <w:rFonts w:cstheme="minorHAnsi"/>
        </w:rPr>
        <w:t>2</w:t>
      </w:r>
      <w:r w:rsidR="00234AD2">
        <w:rPr>
          <w:rFonts w:cstheme="minorHAnsi"/>
        </w:rPr>
        <w:t>/</w:t>
      </w:r>
      <w:r w:rsidR="006D0BE4">
        <w:rPr>
          <w:rFonts w:cstheme="minorHAnsi"/>
        </w:rPr>
        <w:t>09</w:t>
      </w:r>
      <w:r w:rsidR="00234AD2">
        <w:rPr>
          <w:rFonts w:cstheme="minorHAnsi"/>
        </w:rPr>
        <w:t>/201</w:t>
      </w:r>
      <w:r w:rsidR="006E2981">
        <w:rPr>
          <w:rFonts w:cstheme="minorHAnsi"/>
        </w:rPr>
        <w:t>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Start Time: </w:t>
      </w:r>
      <w:r w:rsidR="008B5021">
        <w:rPr>
          <w:rFonts w:cstheme="minorHAnsi"/>
        </w:rPr>
        <w:t>3:0</w:t>
      </w:r>
      <w:r w:rsidR="006D0BE4">
        <w:rPr>
          <w:rFonts w:cstheme="minorHAnsi"/>
        </w:rPr>
        <w:t>5</w:t>
      </w:r>
      <w:r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67457D">
        <w:rPr>
          <w:rFonts w:cstheme="minorHAnsi"/>
        </w:rPr>
        <w:t>4:39p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>Attendance:</w:t>
      </w:r>
      <w:r w:rsidR="008351E1">
        <w:rPr>
          <w:rFonts w:cstheme="minorHAnsi"/>
        </w:rPr>
        <w:t xml:space="preserve"> </w:t>
      </w:r>
      <w:r w:rsidR="00C0056C">
        <w:rPr>
          <w:rFonts w:cstheme="minorHAnsi"/>
        </w:rPr>
        <w:t>Dr</w:t>
      </w:r>
      <w:r w:rsidR="006D0BE4">
        <w:rPr>
          <w:rFonts w:cstheme="minorHAnsi"/>
        </w:rPr>
        <w:t>s</w:t>
      </w:r>
      <w:r w:rsidR="00C0056C">
        <w:rPr>
          <w:rFonts w:cstheme="minorHAnsi"/>
        </w:rPr>
        <w:t>. Kibble</w:t>
      </w:r>
      <w:r w:rsidR="009B61C2">
        <w:rPr>
          <w:rFonts w:cstheme="minorHAnsi"/>
        </w:rPr>
        <w:t xml:space="preserve">, Berman, Harris, Davey, Gorman, Verduin, Dil, Selim, Daroowalla, </w:t>
      </w:r>
      <w:r w:rsidR="00151441">
        <w:rPr>
          <w:rFonts w:cstheme="minorHAnsi"/>
        </w:rPr>
        <w:t xml:space="preserve">Husain, Ebert, Cendan, Kauffman, Castiglioni, </w:t>
      </w:r>
      <w:r w:rsidR="002952CD">
        <w:rPr>
          <w:rFonts w:cstheme="minorHAnsi"/>
        </w:rPr>
        <w:t xml:space="preserve">Beg, </w:t>
      </w:r>
      <w:r w:rsidR="00151441">
        <w:rPr>
          <w:rFonts w:cstheme="minorHAnsi"/>
        </w:rPr>
        <w:t xml:space="preserve">Phil Bellew, Amanda Blom, Bee Ben </w:t>
      </w:r>
      <w:r w:rsidR="00FF43FC">
        <w:rPr>
          <w:rFonts w:cstheme="minorHAnsi"/>
        </w:rPr>
        <w:t>Khallouq</w:t>
      </w:r>
      <w:r w:rsidR="00151441">
        <w:rPr>
          <w:rFonts w:cstheme="minorHAnsi"/>
        </w:rPr>
        <w:t>, Andrea Berry, Meena Kanhai, Jason Day, Melissa Cowan, Dale V</w:t>
      </w:r>
      <w:r w:rsidR="0026475A">
        <w:rPr>
          <w:rFonts w:cstheme="minorHAnsi"/>
        </w:rPr>
        <w:t>o</w:t>
      </w:r>
      <w:r w:rsidR="00151441">
        <w:rPr>
          <w:rFonts w:cstheme="minorHAnsi"/>
        </w:rPr>
        <w:t>orhees</w:t>
      </w:r>
      <w:r w:rsidR="00942CB1">
        <w:rPr>
          <w:rFonts w:cstheme="minorHAnsi"/>
        </w:rPr>
        <w:t>, Nadine Dexter, Deedra Walton</w:t>
      </w:r>
      <w:r w:rsidR="006D0BE4">
        <w:rPr>
          <w:rFonts w:cstheme="minorHAnsi"/>
        </w:rPr>
        <w:t xml:space="preserve"> 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70"/>
        <w:gridCol w:w="8690"/>
        <w:gridCol w:w="2590"/>
      </w:tblGrid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430F3C" w:rsidTr="003855A6">
        <w:tc>
          <w:tcPr>
            <w:tcW w:w="16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6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BF39DF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401BF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01BFC" w:rsidRDefault="006D0BE4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6D0BE4" w:rsidRDefault="005B3E02" w:rsidP="005B3E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IMS master’s: summary of program, integration into HB-1 and HB-3</w:t>
            </w:r>
            <w:r w:rsidR="00815B66">
              <w:t>;</w:t>
            </w:r>
            <w:r>
              <w:t xml:space="preserve"> policy </w:t>
            </w:r>
            <w:r w:rsidR="00815B66">
              <w:t>unclear whether</w:t>
            </w:r>
            <w:r>
              <w:t xml:space="preserve"> those students </w:t>
            </w:r>
            <w:r w:rsidR="00815B66">
              <w:t xml:space="preserve">who </w:t>
            </w:r>
            <w:r>
              <w:t>go on to attend COM as medical students</w:t>
            </w:r>
            <w:r w:rsidR="00815B66">
              <w:t xml:space="preserve"> will retake these courses</w:t>
            </w:r>
          </w:p>
          <w:p w:rsidR="0084449C" w:rsidRDefault="0084449C" w:rsidP="005B3E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No new student reps for biostats program, it will start without them but they are still welcome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A53E6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A53E6" w:rsidRDefault="006D0BE4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6D0BE4" w:rsidRDefault="00EB7720" w:rsidP="006D0BE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M2: FIRE conference went well, wrapping up coursework with last weeks of S-6 and P-2</w:t>
            </w:r>
          </w:p>
          <w:p w:rsidR="00EB7720" w:rsidRDefault="00EB7720" w:rsidP="00815B66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M1: Met with Dr. Dil</w:t>
            </w:r>
            <w:r w:rsidR="00815B66">
              <w:t xml:space="preserve"> to provide real time feedback;</w:t>
            </w:r>
            <w:r>
              <w:t xml:space="preserve"> C-1 </w:t>
            </w:r>
            <w:r w:rsidR="00815B66">
              <w:t>course has started well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AB537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AB537C" w:rsidRDefault="00EB7720">
            <w:pPr>
              <w:spacing w:after="0" w:line="264" w:lineRule="auto"/>
            </w:pPr>
            <w:r>
              <w:t>LCME update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5F5C2E" w:rsidRDefault="00EB7720" w:rsidP="005F5C2E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Six issues of concern, four with monitoring</w:t>
            </w:r>
          </w:p>
          <w:p w:rsidR="00EB7720" w:rsidRDefault="00EB7720" w:rsidP="00EB772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Sufficiency of faculty</w:t>
            </w:r>
          </w:p>
          <w:p w:rsidR="00EB7720" w:rsidRDefault="00EB7720" w:rsidP="00EB772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Financial resources</w:t>
            </w:r>
          </w:p>
          <w:p w:rsidR="00EB7720" w:rsidRDefault="00EB7720" w:rsidP="00EB772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Diversity</w:t>
            </w:r>
          </w:p>
          <w:p w:rsidR="00EB7720" w:rsidRDefault="00EB7720" w:rsidP="00EB772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Timely reporting of summative assessment</w:t>
            </w:r>
            <w:r w:rsidR="00815B66">
              <w:t xml:space="preserve"> in clerkship</w:t>
            </w:r>
          </w:p>
          <w:p w:rsidR="00EB7720" w:rsidRDefault="00EB7720" w:rsidP="00EB772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Final authorities/committee selection</w:t>
            </w:r>
            <w:r w:rsidR="00815B66">
              <w:t xml:space="preserve"> for Admissions</w:t>
            </w:r>
          </w:p>
          <w:p w:rsidR="00EB7720" w:rsidRDefault="00EB7720" w:rsidP="00EB772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SEPC policy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AB537C" w:rsidRDefault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EB7720">
            <w:pPr>
              <w:spacing w:after="0" w:line="264" w:lineRule="auto"/>
            </w:pPr>
            <w:r>
              <w:lastRenderedPageBreak/>
              <w:t>Small group task force update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F32A8E" w:rsidRDefault="009B61C2" w:rsidP="009E46BD">
            <w:pPr>
              <w:spacing w:after="0" w:line="264" w:lineRule="auto"/>
            </w:pPr>
            <w:r>
              <w:t>Presentation from Dr. Kay</w:t>
            </w:r>
            <w:r w:rsidR="00C90F8B">
              <w:t xml:space="preserve"> on charge, process.  Takeaways:</w:t>
            </w:r>
          </w:p>
          <w:p w:rsidR="00755224" w:rsidRDefault="00C44D19" w:rsidP="009E46B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EB3850">
              <w:rPr>
                <w:b/>
              </w:rPr>
              <w:t>Groups</w:t>
            </w:r>
            <w:r>
              <w:t>: At least 4</w:t>
            </w:r>
            <w:r w:rsidR="00EB3850">
              <w:t xml:space="preserve"> (typically 5-8)</w:t>
            </w:r>
            <w:r>
              <w:t xml:space="preserve"> students working together working to specifically generate something because of their interaction with each other.</w:t>
            </w:r>
          </w:p>
          <w:p w:rsidR="00C44D19" w:rsidRDefault="00C44D19" w:rsidP="009E46B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Interdependence, efficiency, student and group ownership of learning</w:t>
            </w:r>
          </w:p>
          <w:p w:rsidR="00655D45" w:rsidRDefault="006A683E" w:rsidP="009E46B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EB3850">
              <w:rPr>
                <w:b/>
              </w:rPr>
              <w:t>Misalignment</w:t>
            </w:r>
            <w:r>
              <w:t>:</w:t>
            </w:r>
          </w:p>
          <w:p w:rsidR="006A683E" w:rsidRDefault="006A683E" w:rsidP="009E46B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Assumptions about purposes</w:t>
            </w:r>
          </w:p>
          <w:p w:rsidR="006A683E" w:rsidRDefault="006A683E" w:rsidP="009E46B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Student vs faculty conceptualization</w:t>
            </w:r>
            <w:r w:rsidR="00AF3572">
              <w:t xml:space="preserve"> (purpose and outcome)</w:t>
            </w:r>
            <w:r w:rsidR="00F57418">
              <w:t>.  Meaningful interaction is shared between students/faculty, otherwise values often don’t align.</w:t>
            </w:r>
          </w:p>
          <w:p w:rsidR="006A683E" w:rsidRDefault="006A683E" w:rsidP="009E46B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Epistemology</w:t>
            </w:r>
          </w:p>
          <w:p w:rsidR="006A683E" w:rsidRDefault="006A683E" w:rsidP="009E46B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Formal vs hidden curriculum</w:t>
            </w:r>
            <w:r w:rsidR="00AF3572">
              <w:t xml:space="preserve"> </w:t>
            </w:r>
            <w:r w:rsidR="00F978A5">
              <w:t>(stated vs acted goals, assessment)</w:t>
            </w:r>
          </w:p>
          <w:p w:rsidR="000E7E32" w:rsidRDefault="00F57418" w:rsidP="009E46B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EA3F85">
              <w:rPr>
                <w:b/>
              </w:rPr>
              <w:t>Reasons</w:t>
            </w:r>
            <w:r>
              <w:t xml:space="preserve"> </w:t>
            </w:r>
            <w:r w:rsidRPr="00EA3F85">
              <w:rPr>
                <w:b/>
              </w:rPr>
              <w:t>to</w:t>
            </w:r>
            <w:r>
              <w:t xml:space="preserve"> </w:t>
            </w:r>
            <w:r w:rsidRPr="00EA3F85">
              <w:rPr>
                <w:b/>
              </w:rPr>
              <w:t>use</w:t>
            </w:r>
            <w:r>
              <w:t xml:space="preserve">: </w:t>
            </w:r>
            <w:r w:rsidR="00483E9A">
              <w:t>Translation to clinical setting, encapsulation, clinical reasoning, deep conceptual knowledge acquisition/understanding, knowledge transfer.</w:t>
            </w:r>
          </w:p>
          <w:p w:rsidR="00F57418" w:rsidRDefault="00F57418" w:rsidP="009E46B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EA3F85">
              <w:rPr>
                <w:b/>
              </w:rPr>
              <w:t>Purpose</w:t>
            </w:r>
            <w:r>
              <w:t>: increase complexity of understanding where content is not novel.  When introducing novel content</w:t>
            </w:r>
            <w:r w:rsidR="0045185E">
              <w:t xml:space="preserve"> (mixed opinions on whether small groups should)</w:t>
            </w:r>
            <w:r>
              <w:t>, it should require interdependence to complete (if they can do it alone, that should probably be an option to them)</w:t>
            </w:r>
          </w:p>
          <w:p w:rsidR="00F57418" w:rsidRDefault="00F57418" w:rsidP="009E46B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Utilize distributed cognition to support storage/retrieval of declarative knowledge, increase complexity of thought, shape identity</w:t>
            </w:r>
            <w:r w:rsidR="00754805">
              <w:t xml:space="preserve"> (change learning habits/belief about learning, attain skill beyond passing standardized tests)</w:t>
            </w:r>
            <w:r>
              <w:t>.</w:t>
            </w:r>
          </w:p>
          <w:p w:rsidR="00F602FB" w:rsidRDefault="00F602FB" w:rsidP="009E46B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EA3F85">
              <w:rPr>
                <w:b/>
              </w:rPr>
              <w:t>Criteria</w:t>
            </w:r>
            <w:r>
              <w:t>: Provide reason to access content, demonstrate evidence of negotiated understanding, shape professional identity development (with student interdependence and “more knowledgeable other” at right times)</w:t>
            </w:r>
          </w:p>
          <w:p w:rsidR="00F602FB" w:rsidRDefault="00705D11" w:rsidP="009E46B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AA2929">
              <w:rPr>
                <w:b/>
              </w:rPr>
              <w:t>Faculty</w:t>
            </w:r>
            <w:r>
              <w:t xml:space="preserve"> </w:t>
            </w:r>
            <w:r w:rsidRPr="00AA2929">
              <w:rPr>
                <w:b/>
              </w:rPr>
              <w:t>role</w:t>
            </w:r>
            <w:r>
              <w:t xml:space="preserve">: </w:t>
            </w:r>
            <w:r w:rsidR="00C925FB">
              <w:t>Facilitator, content expert,</w:t>
            </w:r>
            <w:r w:rsidR="00F854CB">
              <w:t xml:space="preserve"> and/or</w:t>
            </w:r>
            <w:r w:rsidR="00C925FB">
              <w:t xml:space="preserve"> assessor/evaluator.  Most faculty have training primarily as content experts.</w:t>
            </w:r>
            <w:r w:rsidR="000512D8">
              <w:t xml:space="preserve">  They should not interact with content or answer task-related questions directly.</w:t>
            </w:r>
          </w:p>
          <w:p w:rsidR="0069289E" w:rsidRDefault="0069289E" w:rsidP="009E46B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rPr>
                <w:b/>
              </w:rPr>
              <w:t>Instructional designer role</w:t>
            </w:r>
            <w:r w:rsidRPr="0069289E">
              <w:t>:</w:t>
            </w:r>
            <w:r>
              <w:t xml:space="preserve"> </w:t>
            </w:r>
          </w:p>
          <w:p w:rsidR="00293EB0" w:rsidRDefault="0069289E" w:rsidP="009E46B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rPr>
                <w:b/>
              </w:rPr>
              <w:t xml:space="preserve">Group tasks – </w:t>
            </w:r>
            <w:r>
              <w:t>significant, relevant, authentic, “ill-structured” (more than one right answer) problem or simulation that focuses on highest yield basic concepts, at appropriate complexity.</w:t>
            </w:r>
            <w:r w:rsidR="00293EB0">
              <w:t xml:space="preserve">  Should include motivational trigger(s) such as emotional connection, hot cognition (controversial or ill-structured), want/need oriented</w:t>
            </w:r>
          </w:p>
          <w:p w:rsidR="009E46BD" w:rsidRDefault="00C245E0" w:rsidP="009E46B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rPr>
                <w:b/>
              </w:rPr>
              <w:lastRenderedPageBreak/>
              <w:t xml:space="preserve">Task </w:t>
            </w:r>
            <w:r>
              <w:t>creates a gap in student knowledge so they need someone else in order to complete the task appropriately</w:t>
            </w:r>
            <w:r w:rsidR="001B2424">
              <w:t xml:space="preserve"> (students comment these tasks are frequently not challenging enough and they can be done individually)</w:t>
            </w:r>
          </w:p>
          <w:p w:rsidR="009E46BD" w:rsidRDefault="00B41860" w:rsidP="009E46B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 w:rsidRPr="00B41860">
              <w:rPr>
                <w:b/>
              </w:rPr>
              <w:t>Accountability</w:t>
            </w:r>
            <w:r>
              <w:t>: all members must be accountable to the team for something to achieve the group task</w:t>
            </w:r>
          </w:p>
          <w:p w:rsidR="0068783D" w:rsidRDefault="0068783D" w:rsidP="009E46B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rPr>
                <w:b/>
              </w:rPr>
              <w:t>Avoid</w:t>
            </w:r>
            <w:r w:rsidRPr="0068783D">
              <w:t>:</w:t>
            </w:r>
            <w:r>
              <w:t xml:space="preserve"> Recall activities (cut/paste from slides), problems that can be done independently</w:t>
            </w:r>
          </w:p>
          <w:p w:rsidR="00435D25" w:rsidRDefault="00435D25" w:rsidP="00435D2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rPr>
                <w:b/>
              </w:rPr>
              <w:t xml:space="preserve">Assessment: </w:t>
            </w:r>
            <w:r w:rsidR="005E0CCD">
              <w:t>Self, peer, by faculty, of faculty</w:t>
            </w:r>
          </w:p>
          <w:p w:rsidR="005E0CCD" w:rsidRDefault="00E102E1" w:rsidP="005E0CC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Scoring disparity on exams vs small groups, soft points on small groups</w:t>
            </w:r>
          </w:p>
          <w:p w:rsidR="00E102E1" w:rsidRDefault="00E102E1" w:rsidP="005E0CC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Inconsistency of feedback, issues with giving students correct answers</w:t>
            </w:r>
          </w:p>
          <w:p w:rsidR="00495249" w:rsidRDefault="00495249" w:rsidP="005E0CC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Assess gains in understanding, give a % of grade, personal accountability</w:t>
            </w:r>
            <w:r w:rsidR="00D5234C">
              <w:t xml:space="preserve">, the </w:t>
            </w:r>
            <w:r w:rsidR="00D5234C" w:rsidRPr="00D5234C">
              <w:rPr>
                <w:b/>
              </w:rPr>
              <w:t>group process itself</w:t>
            </w:r>
          </w:p>
          <w:p w:rsidR="00D5234C" w:rsidRDefault="00D5234C" w:rsidP="005E0CC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Keep feedback &amp; process consistent during/across modules, with goals/objectives</w:t>
            </w:r>
          </w:p>
          <w:p w:rsidR="00D5234C" w:rsidRDefault="00D5234C" w:rsidP="005E0CC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Clarify confusion, foster “doing”</w:t>
            </w:r>
          </w:p>
          <w:p w:rsidR="00103B2F" w:rsidRDefault="00103B2F" w:rsidP="00103B2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EB3850">
              <w:rPr>
                <w:b/>
              </w:rPr>
              <w:t>Long-term</w:t>
            </w:r>
            <w:r>
              <w:t xml:space="preserve"> </w:t>
            </w:r>
            <w:r w:rsidRPr="00EB3850">
              <w:rPr>
                <w:b/>
              </w:rPr>
              <w:t>recommendations</w:t>
            </w:r>
            <w:r>
              <w:t>:</w:t>
            </w:r>
          </w:p>
          <w:p w:rsidR="00103B2F" w:rsidRDefault="00103B2F" w:rsidP="00103B2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Design/deploy small groups from only a selection of models to keep consistency</w:t>
            </w:r>
          </w:p>
          <w:p w:rsidR="00103B2F" w:rsidRDefault="00103B2F" w:rsidP="00103B2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Standardize instructional methodology</w:t>
            </w:r>
          </w:p>
          <w:p w:rsidR="00103B2F" w:rsidRDefault="00103B2F" w:rsidP="00103B2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Models have sufficient complexity, building on content and processes introduced in earlier courses/years</w:t>
            </w:r>
          </w:p>
          <w:p w:rsidR="00103B2F" w:rsidRDefault="00103B2F" w:rsidP="00103B2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More opportunities for faculty to: develop skills in instructional design, partner with designers to develop events, develop skills with facilitation</w:t>
            </w:r>
          </w:p>
          <w:p w:rsidR="00103B2F" w:rsidRDefault="00103B2F" w:rsidP="00103B2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Create a “small group facilitator” pool of faculty to serve as co designers for small group sessio</w:t>
            </w:r>
            <w:r w:rsidR="00397B81">
              <w:t>ns and assist with facilitation</w:t>
            </w:r>
          </w:p>
          <w:p w:rsidR="00022412" w:rsidRDefault="00022412" w:rsidP="00022412">
            <w:pPr>
              <w:spacing w:after="0" w:line="264" w:lineRule="auto"/>
            </w:pPr>
            <w:r>
              <w:t>Discussion on logistical issues, how representative cases are on MCQ exams, examples of ill-structured cases</w:t>
            </w:r>
            <w:r w:rsidR="008135CC">
              <w:t>, predictive value if assigning more weight to small group sessions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EB7720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EB7720" w:rsidRDefault="00EB7720" w:rsidP="00EB7720">
            <w:pPr>
              <w:spacing w:after="0" w:line="264" w:lineRule="auto"/>
            </w:pPr>
            <w:r>
              <w:t xml:space="preserve">Attendance policy 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EB7720" w:rsidRDefault="00B7316E" w:rsidP="006D0BE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Official policy does not define what must be mandatory, just the process of attaining excused absences</w:t>
            </w:r>
          </w:p>
          <w:p w:rsidR="00815B66" w:rsidRDefault="00815B66" w:rsidP="006D0BE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Lectures may be mandatory in exceptional cases; small groups may be non-mandatory</w:t>
            </w:r>
          </w:p>
          <w:p w:rsidR="00D96FF9" w:rsidRDefault="00D96FF9" w:rsidP="006D0BE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Currently maintaining status quo pending reflection on small group task force information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EB7720" w:rsidRDefault="00EB772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EB7720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EB7720" w:rsidRDefault="00EB7720">
            <w:pPr>
              <w:spacing w:after="0" w:line="264" w:lineRule="auto"/>
            </w:pP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EB7720" w:rsidRDefault="00EB7720" w:rsidP="006D0BE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EB7720" w:rsidRDefault="00EB7720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586C"/>
    <w:rsid w:val="00007C48"/>
    <w:rsid w:val="00011C2F"/>
    <w:rsid w:val="000170C4"/>
    <w:rsid w:val="0001757B"/>
    <w:rsid w:val="00021EC6"/>
    <w:rsid w:val="00021F77"/>
    <w:rsid w:val="00022412"/>
    <w:rsid w:val="000230DA"/>
    <w:rsid w:val="0002647C"/>
    <w:rsid w:val="000446EE"/>
    <w:rsid w:val="000510C9"/>
    <w:rsid w:val="000512D8"/>
    <w:rsid w:val="00057244"/>
    <w:rsid w:val="00063B5A"/>
    <w:rsid w:val="00063FFB"/>
    <w:rsid w:val="00075B05"/>
    <w:rsid w:val="0008074E"/>
    <w:rsid w:val="000821D0"/>
    <w:rsid w:val="00082EE6"/>
    <w:rsid w:val="000874A1"/>
    <w:rsid w:val="000A0D92"/>
    <w:rsid w:val="000A2576"/>
    <w:rsid w:val="000A6448"/>
    <w:rsid w:val="000B1E2C"/>
    <w:rsid w:val="000B2DBE"/>
    <w:rsid w:val="000B6858"/>
    <w:rsid w:val="000C1038"/>
    <w:rsid w:val="000C280F"/>
    <w:rsid w:val="000D0405"/>
    <w:rsid w:val="000D094D"/>
    <w:rsid w:val="000D189A"/>
    <w:rsid w:val="000E59A0"/>
    <w:rsid w:val="000E7E32"/>
    <w:rsid w:val="000F097D"/>
    <w:rsid w:val="000F1D91"/>
    <w:rsid w:val="000F76B9"/>
    <w:rsid w:val="001004DE"/>
    <w:rsid w:val="00103B2F"/>
    <w:rsid w:val="0010430A"/>
    <w:rsid w:val="0010533B"/>
    <w:rsid w:val="0010546D"/>
    <w:rsid w:val="00105478"/>
    <w:rsid w:val="0011040A"/>
    <w:rsid w:val="001129D8"/>
    <w:rsid w:val="00116BE4"/>
    <w:rsid w:val="00123374"/>
    <w:rsid w:val="00126B7B"/>
    <w:rsid w:val="00127EE8"/>
    <w:rsid w:val="00131DF5"/>
    <w:rsid w:val="0013369F"/>
    <w:rsid w:val="0014411A"/>
    <w:rsid w:val="00144B9F"/>
    <w:rsid w:val="00151441"/>
    <w:rsid w:val="00154753"/>
    <w:rsid w:val="001665F3"/>
    <w:rsid w:val="001707C6"/>
    <w:rsid w:val="00172016"/>
    <w:rsid w:val="00172259"/>
    <w:rsid w:val="00172D3D"/>
    <w:rsid w:val="00181026"/>
    <w:rsid w:val="00185425"/>
    <w:rsid w:val="00193F75"/>
    <w:rsid w:val="001957E7"/>
    <w:rsid w:val="00196BA4"/>
    <w:rsid w:val="001A0927"/>
    <w:rsid w:val="001A0A07"/>
    <w:rsid w:val="001A2449"/>
    <w:rsid w:val="001A5AAF"/>
    <w:rsid w:val="001B2424"/>
    <w:rsid w:val="001B2BD8"/>
    <w:rsid w:val="001B3479"/>
    <w:rsid w:val="001B5915"/>
    <w:rsid w:val="001C2CC3"/>
    <w:rsid w:val="001C54FF"/>
    <w:rsid w:val="001D4469"/>
    <w:rsid w:val="001D69BF"/>
    <w:rsid w:val="001E26BA"/>
    <w:rsid w:val="001E4E86"/>
    <w:rsid w:val="001E647C"/>
    <w:rsid w:val="001F1643"/>
    <w:rsid w:val="002130C3"/>
    <w:rsid w:val="00215435"/>
    <w:rsid w:val="00216937"/>
    <w:rsid w:val="002269BE"/>
    <w:rsid w:val="00231EEB"/>
    <w:rsid w:val="00234AD2"/>
    <w:rsid w:val="00237616"/>
    <w:rsid w:val="00237D67"/>
    <w:rsid w:val="00244290"/>
    <w:rsid w:val="002471FB"/>
    <w:rsid w:val="00253A70"/>
    <w:rsid w:val="00255B04"/>
    <w:rsid w:val="002575B3"/>
    <w:rsid w:val="00260483"/>
    <w:rsid w:val="0026475A"/>
    <w:rsid w:val="00291F31"/>
    <w:rsid w:val="00293EB0"/>
    <w:rsid w:val="002952CD"/>
    <w:rsid w:val="002A4FC0"/>
    <w:rsid w:val="002A5A0E"/>
    <w:rsid w:val="002B0695"/>
    <w:rsid w:val="002B0B3C"/>
    <w:rsid w:val="002B2F08"/>
    <w:rsid w:val="002C0499"/>
    <w:rsid w:val="002C344C"/>
    <w:rsid w:val="002C3ACE"/>
    <w:rsid w:val="002C5521"/>
    <w:rsid w:val="002C67BB"/>
    <w:rsid w:val="002D2C97"/>
    <w:rsid w:val="002D57FA"/>
    <w:rsid w:val="002D5EEF"/>
    <w:rsid w:val="002D7D74"/>
    <w:rsid w:val="002E6330"/>
    <w:rsid w:val="002F0EB4"/>
    <w:rsid w:val="002F4BC1"/>
    <w:rsid w:val="002F57C2"/>
    <w:rsid w:val="00300CBC"/>
    <w:rsid w:val="00305F07"/>
    <w:rsid w:val="003202F4"/>
    <w:rsid w:val="0032740E"/>
    <w:rsid w:val="00340A9F"/>
    <w:rsid w:val="0034124E"/>
    <w:rsid w:val="00344FD6"/>
    <w:rsid w:val="00352D6D"/>
    <w:rsid w:val="00353DDC"/>
    <w:rsid w:val="003547D5"/>
    <w:rsid w:val="0036187D"/>
    <w:rsid w:val="00370CCD"/>
    <w:rsid w:val="003855A6"/>
    <w:rsid w:val="0039010A"/>
    <w:rsid w:val="00395FE5"/>
    <w:rsid w:val="00397B81"/>
    <w:rsid w:val="003A2803"/>
    <w:rsid w:val="003C4468"/>
    <w:rsid w:val="003D3BF4"/>
    <w:rsid w:val="003D5919"/>
    <w:rsid w:val="003D6C2C"/>
    <w:rsid w:val="003E4A51"/>
    <w:rsid w:val="003F3C29"/>
    <w:rsid w:val="003F4908"/>
    <w:rsid w:val="00401BFC"/>
    <w:rsid w:val="00404C59"/>
    <w:rsid w:val="004114AC"/>
    <w:rsid w:val="00411F2B"/>
    <w:rsid w:val="00417CE8"/>
    <w:rsid w:val="004204B7"/>
    <w:rsid w:val="00423EA4"/>
    <w:rsid w:val="00430F3C"/>
    <w:rsid w:val="00435D25"/>
    <w:rsid w:val="004439CD"/>
    <w:rsid w:val="00446037"/>
    <w:rsid w:val="00446A90"/>
    <w:rsid w:val="0045185E"/>
    <w:rsid w:val="004732A0"/>
    <w:rsid w:val="004753CC"/>
    <w:rsid w:val="0047689C"/>
    <w:rsid w:val="00483E9A"/>
    <w:rsid w:val="00490772"/>
    <w:rsid w:val="00491CF8"/>
    <w:rsid w:val="00495249"/>
    <w:rsid w:val="00495ABE"/>
    <w:rsid w:val="004A12B4"/>
    <w:rsid w:val="004A1C30"/>
    <w:rsid w:val="004A2639"/>
    <w:rsid w:val="004A655B"/>
    <w:rsid w:val="004B19E4"/>
    <w:rsid w:val="004C7A5F"/>
    <w:rsid w:val="004D176F"/>
    <w:rsid w:val="004E33A6"/>
    <w:rsid w:val="004F6AB3"/>
    <w:rsid w:val="00501396"/>
    <w:rsid w:val="00501C9B"/>
    <w:rsid w:val="00507A00"/>
    <w:rsid w:val="0051413E"/>
    <w:rsid w:val="0052397A"/>
    <w:rsid w:val="00527FF3"/>
    <w:rsid w:val="00537192"/>
    <w:rsid w:val="00537ABF"/>
    <w:rsid w:val="00537B1D"/>
    <w:rsid w:val="00554DD1"/>
    <w:rsid w:val="0056183B"/>
    <w:rsid w:val="00567F1B"/>
    <w:rsid w:val="00570214"/>
    <w:rsid w:val="00576378"/>
    <w:rsid w:val="0057646A"/>
    <w:rsid w:val="0058477C"/>
    <w:rsid w:val="00584862"/>
    <w:rsid w:val="00587122"/>
    <w:rsid w:val="00596529"/>
    <w:rsid w:val="005970FC"/>
    <w:rsid w:val="00597672"/>
    <w:rsid w:val="005A0AEB"/>
    <w:rsid w:val="005B044C"/>
    <w:rsid w:val="005B3E02"/>
    <w:rsid w:val="005B4992"/>
    <w:rsid w:val="005B49B3"/>
    <w:rsid w:val="005B5CA3"/>
    <w:rsid w:val="005B7993"/>
    <w:rsid w:val="005C1992"/>
    <w:rsid w:val="005D2933"/>
    <w:rsid w:val="005E0CCD"/>
    <w:rsid w:val="005E3514"/>
    <w:rsid w:val="005E3D47"/>
    <w:rsid w:val="005E418A"/>
    <w:rsid w:val="005F5C2E"/>
    <w:rsid w:val="00607855"/>
    <w:rsid w:val="00614972"/>
    <w:rsid w:val="00617BB9"/>
    <w:rsid w:val="006238E7"/>
    <w:rsid w:val="00623CA7"/>
    <w:rsid w:val="006272F5"/>
    <w:rsid w:val="006305F3"/>
    <w:rsid w:val="006312DF"/>
    <w:rsid w:val="0064124C"/>
    <w:rsid w:val="00655D45"/>
    <w:rsid w:val="00656C56"/>
    <w:rsid w:val="0066060E"/>
    <w:rsid w:val="006671A9"/>
    <w:rsid w:val="00672BA8"/>
    <w:rsid w:val="0067457D"/>
    <w:rsid w:val="006760F8"/>
    <w:rsid w:val="00682B5C"/>
    <w:rsid w:val="0068471B"/>
    <w:rsid w:val="0068783D"/>
    <w:rsid w:val="0069289E"/>
    <w:rsid w:val="006A341B"/>
    <w:rsid w:val="006A683E"/>
    <w:rsid w:val="006B4AFF"/>
    <w:rsid w:val="006C3CBD"/>
    <w:rsid w:val="006D0BE4"/>
    <w:rsid w:val="006D3FA5"/>
    <w:rsid w:val="006D51AF"/>
    <w:rsid w:val="006D6AC3"/>
    <w:rsid w:val="006E2981"/>
    <w:rsid w:val="006F3ED2"/>
    <w:rsid w:val="006F5DBA"/>
    <w:rsid w:val="007007FB"/>
    <w:rsid w:val="0070227E"/>
    <w:rsid w:val="00705D11"/>
    <w:rsid w:val="0072073F"/>
    <w:rsid w:val="00722C5A"/>
    <w:rsid w:val="00724AEF"/>
    <w:rsid w:val="00725D3D"/>
    <w:rsid w:val="00740FF1"/>
    <w:rsid w:val="0074220E"/>
    <w:rsid w:val="007535B5"/>
    <w:rsid w:val="00754805"/>
    <w:rsid w:val="00755224"/>
    <w:rsid w:val="00762839"/>
    <w:rsid w:val="00764886"/>
    <w:rsid w:val="0076759B"/>
    <w:rsid w:val="00780930"/>
    <w:rsid w:val="00780940"/>
    <w:rsid w:val="007908FA"/>
    <w:rsid w:val="00795ED5"/>
    <w:rsid w:val="007A38B7"/>
    <w:rsid w:val="007A713B"/>
    <w:rsid w:val="007B03A4"/>
    <w:rsid w:val="007B307F"/>
    <w:rsid w:val="007C6C50"/>
    <w:rsid w:val="007D2E56"/>
    <w:rsid w:val="007E021C"/>
    <w:rsid w:val="007E6FB7"/>
    <w:rsid w:val="007F2134"/>
    <w:rsid w:val="007F35BD"/>
    <w:rsid w:val="007F5ED0"/>
    <w:rsid w:val="00810053"/>
    <w:rsid w:val="008135CC"/>
    <w:rsid w:val="00815B66"/>
    <w:rsid w:val="00816461"/>
    <w:rsid w:val="00817481"/>
    <w:rsid w:val="008351E1"/>
    <w:rsid w:val="0084449C"/>
    <w:rsid w:val="008452CE"/>
    <w:rsid w:val="00851E97"/>
    <w:rsid w:val="00853940"/>
    <w:rsid w:val="0085545E"/>
    <w:rsid w:val="0086162F"/>
    <w:rsid w:val="00862976"/>
    <w:rsid w:val="00865359"/>
    <w:rsid w:val="008679B5"/>
    <w:rsid w:val="0088523C"/>
    <w:rsid w:val="00890BAE"/>
    <w:rsid w:val="00893315"/>
    <w:rsid w:val="00894DEF"/>
    <w:rsid w:val="008A3CB7"/>
    <w:rsid w:val="008A3FD9"/>
    <w:rsid w:val="008B5021"/>
    <w:rsid w:val="008C52FC"/>
    <w:rsid w:val="008F1DB0"/>
    <w:rsid w:val="009042DD"/>
    <w:rsid w:val="00907FCF"/>
    <w:rsid w:val="00911453"/>
    <w:rsid w:val="00914DC9"/>
    <w:rsid w:val="00917101"/>
    <w:rsid w:val="00917B13"/>
    <w:rsid w:val="00917C46"/>
    <w:rsid w:val="0092175F"/>
    <w:rsid w:val="00921C3B"/>
    <w:rsid w:val="009233E9"/>
    <w:rsid w:val="0092696A"/>
    <w:rsid w:val="00932F66"/>
    <w:rsid w:val="00942131"/>
    <w:rsid w:val="0094219B"/>
    <w:rsid w:val="00942CB1"/>
    <w:rsid w:val="009512EB"/>
    <w:rsid w:val="00951BA8"/>
    <w:rsid w:val="00951DA9"/>
    <w:rsid w:val="00953CC6"/>
    <w:rsid w:val="00967801"/>
    <w:rsid w:val="009826B2"/>
    <w:rsid w:val="009879FF"/>
    <w:rsid w:val="00992B5C"/>
    <w:rsid w:val="00997035"/>
    <w:rsid w:val="009B61C2"/>
    <w:rsid w:val="009B7241"/>
    <w:rsid w:val="009C1108"/>
    <w:rsid w:val="009C300C"/>
    <w:rsid w:val="009D68DA"/>
    <w:rsid w:val="009E0804"/>
    <w:rsid w:val="009E46BD"/>
    <w:rsid w:val="009E586C"/>
    <w:rsid w:val="009F16EC"/>
    <w:rsid w:val="009F3058"/>
    <w:rsid w:val="009F6FD6"/>
    <w:rsid w:val="00A01285"/>
    <w:rsid w:val="00A11622"/>
    <w:rsid w:val="00A11A6C"/>
    <w:rsid w:val="00A14BD3"/>
    <w:rsid w:val="00A26555"/>
    <w:rsid w:val="00A37089"/>
    <w:rsid w:val="00A44BF3"/>
    <w:rsid w:val="00A466EB"/>
    <w:rsid w:val="00A46F6F"/>
    <w:rsid w:val="00A52299"/>
    <w:rsid w:val="00A54EBB"/>
    <w:rsid w:val="00A6401E"/>
    <w:rsid w:val="00A6406E"/>
    <w:rsid w:val="00A70FB1"/>
    <w:rsid w:val="00A7656C"/>
    <w:rsid w:val="00A840A2"/>
    <w:rsid w:val="00A919D8"/>
    <w:rsid w:val="00AA2929"/>
    <w:rsid w:val="00AA798F"/>
    <w:rsid w:val="00AB537C"/>
    <w:rsid w:val="00AB6D3F"/>
    <w:rsid w:val="00AC1372"/>
    <w:rsid w:val="00AC3EB9"/>
    <w:rsid w:val="00AC6871"/>
    <w:rsid w:val="00AC7867"/>
    <w:rsid w:val="00AE5A89"/>
    <w:rsid w:val="00AF06C1"/>
    <w:rsid w:val="00AF3572"/>
    <w:rsid w:val="00AF4FAD"/>
    <w:rsid w:val="00AF5A6E"/>
    <w:rsid w:val="00AF7B96"/>
    <w:rsid w:val="00B065EF"/>
    <w:rsid w:val="00B1086C"/>
    <w:rsid w:val="00B16C22"/>
    <w:rsid w:val="00B233DD"/>
    <w:rsid w:val="00B23596"/>
    <w:rsid w:val="00B41860"/>
    <w:rsid w:val="00B50B78"/>
    <w:rsid w:val="00B627E1"/>
    <w:rsid w:val="00B6682F"/>
    <w:rsid w:val="00B67247"/>
    <w:rsid w:val="00B67EBF"/>
    <w:rsid w:val="00B73002"/>
    <w:rsid w:val="00B7316E"/>
    <w:rsid w:val="00B80313"/>
    <w:rsid w:val="00BA0CD2"/>
    <w:rsid w:val="00BA1926"/>
    <w:rsid w:val="00BA209B"/>
    <w:rsid w:val="00BC0436"/>
    <w:rsid w:val="00BC3CF9"/>
    <w:rsid w:val="00BC4DB5"/>
    <w:rsid w:val="00BE586E"/>
    <w:rsid w:val="00BF168C"/>
    <w:rsid w:val="00BF39DF"/>
    <w:rsid w:val="00BF6BCE"/>
    <w:rsid w:val="00BF7916"/>
    <w:rsid w:val="00BF7AC2"/>
    <w:rsid w:val="00C0056C"/>
    <w:rsid w:val="00C20838"/>
    <w:rsid w:val="00C245E0"/>
    <w:rsid w:val="00C31106"/>
    <w:rsid w:val="00C31DE3"/>
    <w:rsid w:val="00C35739"/>
    <w:rsid w:val="00C42A4E"/>
    <w:rsid w:val="00C44D19"/>
    <w:rsid w:val="00C51712"/>
    <w:rsid w:val="00C65ADA"/>
    <w:rsid w:val="00C72A2C"/>
    <w:rsid w:val="00C845F0"/>
    <w:rsid w:val="00C87F1F"/>
    <w:rsid w:val="00C90F8B"/>
    <w:rsid w:val="00C925FB"/>
    <w:rsid w:val="00C943F4"/>
    <w:rsid w:val="00CA1673"/>
    <w:rsid w:val="00CA53E6"/>
    <w:rsid w:val="00CB22F4"/>
    <w:rsid w:val="00CB6399"/>
    <w:rsid w:val="00CC44F1"/>
    <w:rsid w:val="00CC6BC0"/>
    <w:rsid w:val="00CD011F"/>
    <w:rsid w:val="00CD3D83"/>
    <w:rsid w:val="00CD4A51"/>
    <w:rsid w:val="00CD5ABE"/>
    <w:rsid w:val="00CE0E17"/>
    <w:rsid w:val="00CE585B"/>
    <w:rsid w:val="00D02C26"/>
    <w:rsid w:val="00D12026"/>
    <w:rsid w:val="00D17ECA"/>
    <w:rsid w:val="00D32A9D"/>
    <w:rsid w:val="00D33008"/>
    <w:rsid w:val="00D3737E"/>
    <w:rsid w:val="00D3751F"/>
    <w:rsid w:val="00D44CE2"/>
    <w:rsid w:val="00D4715D"/>
    <w:rsid w:val="00D513BB"/>
    <w:rsid w:val="00D5234C"/>
    <w:rsid w:val="00D533E7"/>
    <w:rsid w:val="00D70892"/>
    <w:rsid w:val="00D73E7C"/>
    <w:rsid w:val="00D74414"/>
    <w:rsid w:val="00D77A28"/>
    <w:rsid w:val="00D80F1A"/>
    <w:rsid w:val="00D80FBC"/>
    <w:rsid w:val="00D83CBC"/>
    <w:rsid w:val="00D96FF9"/>
    <w:rsid w:val="00D97EF0"/>
    <w:rsid w:val="00DA07D0"/>
    <w:rsid w:val="00DA2828"/>
    <w:rsid w:val="00DA3FED"/>
    <w:rsid w:val="00DA4E84"/>
    <w:rsid w:val="00DB36D9"/>
    <w:rsid w:val="00DB58EE"/>
    <w:rsid w:val="00DB6EC9"/>
    <w:rsid w:val="00DE0D4F"/>
    <w:rsid w:val="00DE4B7F"/>
    <w:rsid w:val="00DF3F13"/>
    <w:rsid w:val="00E01ABC"/>
    <w:rsid w:val="00E102E1"/>
    <w:rsid w:val="00E15B7A"/>
    <w:rsid w:val="00E2689C"/>
    <w:rsid w:val="00E30756"/>
    <w:rsid w:val="00E35B15"/>
    <w:rsid w:val="00E41650"/>
    <w:rsid w:val="00E419A9"/>
    <w:rsid w:val="00E41BD2"/>
    <w:rsid w:val="00E436EC"/>
    <w:rsid w:val="00E46F17"/>
    <w:rsid w:val="00E52849"/>
    <w:rsid w:val="00E606C7"/>
    <w:rsid w:val="00E60FF1"/>
    <w:rsid w:val="00E63D09"/>
    <w:rsid w:val="00E6595D"/>
    <w:rsid w:val="00E6762C"/>
    <w:rsid w:val="00E72A29"/>
    <w:rsid w:val="00E77400"/>
    <w:rsid w:val="00E82C63"/>
    <w:rsid w:val="00E8316F"/>
    <w:rsid w:val="00E8374C"/>
    <w:rsid w:val="00E974F1"/>
    <w:rsid w:val="00EA1AD2"/>
    <w:rsid w:val="00EA3F85"/>
    <w:rsid w:val="00EB3850"/>
    <w:rsid w:val="00EB4F18"/>
    <w:rsid w:val="00EB7720"/>
    <w:rsid w:val="00EC0B2F"/>
    <w:rsid w:val="00EC10D3"/>
    <w:rsid w:val="00EC2CEF"/>
    <w:rsid w:val="00EC3184"/>
    <w:rsid w:val="00ED0B3D"/>
    <w:rsid w:val="00EF2551"/>
    <w:rsid w:val="00EF32EB"/>
    <w:rsid w:val="00EF46AB"/>
    <w:rsid w:val="00F032F7"/>
    <w:rsid w:val="00F035AA"/>
    <w:rsid w:val="00F04D1F"/>
    <w:rsid w:val="00F115C5"/>
    <w:rsid w:val="00F13730"/>
    <w:rsid w:val="00F16A5D"/>
    <w:rsid w:val="00F24450"/>
    <w:rsid w:val="00F30264"/>
    <w:rsid w:val="00F31398"/>
    <w:rsid w:val="00F32A8E"/>
    <w:rsid w:val="00F33961"/>
    <w:rsid w:val="00F46375"/>
    <w:rsid w:val="00F47D34"/>
    <w:rsid w:val="00F5612B"/>
    <w:rsid w:val="00F57418"/>
    <w:rsid w:val="00F602FB"/>
    <w:rsid w:val="00F71FEE"/>
    <w:rsid w:val="00F722FA"/>
    <w:rsid w:val="00F76E1A"/>
    <w:rsid w:val="00F77F15"/>
    <w:rsid w:val="00F854CB"/>
    <w:rsid w:val="00F86602"/>
    <w:rsid w:val="00F931D5"/>
    <w:rsid w:val="00F978A5"/>
    <w:rsid w:val="00FA5752"/>
    <w:rsid w:val="00FA5A61"/>
    <w:rsid w:val="00FB6C25"/>
    <w:rsid w:val="00FC4796"/>
    <w:rsid w:val="00FC610B"/>
    <w:rsid w:val="00FD4298"/>
    <w:rsid w:val="00FE0EEC"/>
    <w:rsid w:val="00FE136F"/>
    <w:rsid w:val="00FF2008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AD35-BB86-4A56-B15E-4DFE56B1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2018-04-23T12:16:00Z</dcterms:created>
  <dcterms:modified xsi:type="dcterms:W3CDTF">2018-04-23T12:16:00Z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