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6E2981">
        <w:rPr>
          <w:rFonts w:cstheme="minorHAnsi"/>
        </w:rPr>
        <w:t>01</w:t>
      </w:r>
      <w:r w:rsidR="00234AD2">
        <w:rPr>
          <w:rFonts w:cstheme="minorHAnsi"/>
        </w:rPr>
        <w:t>/</w:t>
      </w:r>
      <w:r w:rsidR="00C0056C">
        <w:rPr>
          <w:rFonts w:cstheme="minorHAnsi"/>
        </w:rPr>
        <w:t>1</w:t>
      </w:r>
      <w:r w:rsidR="006E2981">
        <w:rPr>
          <w:rFonts w:cstheme="minorHAnsi"/>
        </w:rPr>
        <w:t>2</w:t>
      </w:r>
      <w:r w:rsidR="00234AD2">
        <w:rPr>
          <w:rFonts w:cstheme="minorHAnsi"/>
        </w:rPr>
        <w:t>/201</w:t>
      </w:r>
      <w:r w:rsidR="006E2981">
        <w:rPr>
          <w:rFonts w:cstheme="minorHAnsi"/>
        </w:rPr>
        <w:t>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Start Time: </w:t>
      </w:r>
      <w:r w:rsidR="008B5021">
        <w:rPr>
          <w:rFonts w:cstheme="minorHAnsi"/>
        </w:rPr>
        <w:t>3:0</w:t>
      </w:r>
      <w:r w:rsidR="00215435">
        <w:rPr>
          <w:rFonts w:cstheme="minorHAnsi"/>
        </w:rPr>
        <w:t>4</w:t>
      </w:r>
      <w:r>
        <w:rPr>
          <w:rFonts w:cstheme="minorHAnsi"/>
        </w:rPr>
        <w:t>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411F2B">
        <w:rPr>
          <w:rFonts w:cstheme="minorHAnsi"/>
        </w:rPr>
        <w:t>4:37</w:t>
      </w:r>
      <w:r w:rsidR="00CE585B">
        <w:rPr>
          <w:rFonts w:cstheme="minorHAnsi"/>
        </w:rPr>
        <w:t>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14411A">
        <w:rPr>
          <w:rFonts w:cstheme="minorHAnsi"/>
        </w:rPr>
        <w:t>Kibble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>Attendance:</w:t>
      </w:r>
      <w:r w:rsidR="008351E1">
        <w:rPr>
          <w:rFonts w:cstheme="minorHAnsi"/>
        </w:rPr>
        <w:t xml:space="preserve"> </w:t>
      </w:r>
      <w:r w:rsidR="009D68DA">
        <w:rPr>
          <w:rFonts w:cstheme="minorHAnsi"/>
        </w:rPr>
        <w:t>Phil Bellew</w:t>
      </w:r>
      <w:r w:rsidR="00810053">
        <w:rPr>
          <w:rFonts w:cstheme="minorHAnsi"/>
        </w:rPr>
        <w:t xml:space="preserve">, </w:t>
      </w:r>
      <w:r w:rsidR="00C0056C">
        <w:rPr>
          <w:rFonts w:cstheme="minorHAnsi"/>
        </w:rPr>
        <w:t xml:space="preserve">Dr. Kibble, </w:t>
      </w:r>
      <w:r w:rsidR="00B73002">
        <w:rPr>
          <w:rFonts w:cstheme="minorHAnsi"/>
        </w:rPr>
        <w:t>Dale Voorhees</w:t>
      </w:r>
      <w:r w:rsidR="0002647C">
        <w:rPr>
          <w:rFonts w:cstheme="minorHAnsi"/>
        </w:rPr>
        <w:t xml:space="preserve">, </w:t>
      </w:r>
      <w:r w:rsidR="006E2981">
        <w:rPr>
          <w:rFonts w:cstheme="minorHAnsi"/>
        </w:rPr>
        <w:t>Alisha Corsi, Jason Day, Dr. Verduin, Bee</w:t>
      </w:r>
      <w:r w:rsidR="004A655B">
        <w:rPr>
          <w:rFonts w:cstheme="minorHAnsi"/>
        </w:rPr>
        <w:t xml:space="preserve"> Ben Khallouq</w:t>
      </w:r>
      <w:r w:rsidR="006E2981">
        <w:rPr>
          <w:rFonts w:cstheme="minorHAnsi"/>
        </w:rPr>
        <w:t xml:space="preserve">, Amanda Blom, Dr. Gorman, Dr. Peppler, Dr. Lambert, Dr. Gros, Dr. Berman, Dr. Kay, Dr. Selim, </w:t>
      </w:r>
      <w:r w:rsidR="000F76B9">
        <w:rPr>
          <w:rFonts w:cstheme="minorHAnsi"/>
        </w:rPr>
        <w:t>Dr. Daroowalla, Dr. Harris,</w:t>
      </w:r>
      <w:r w:rsidR="00215435">
        <w:rPr>
          <w:rFonts w:cstheme="minorHAnsi"/>
        </w:rPr>
        <w:t xml:space="preserve"> Dr. Simms-Cendan, Dr. Kauffman, Allison Kom</w:t>
      </w:r>
      <w:r w:rsidR="004A655B">
        <w:rPr>
          <w:rFonts w:cstheme="minorHAnsi"/>
        </w:rPr>
        <w:t>m</w:t>
      </w:r>
      <w:r w:rsidR="00215435">
        <w:rPr>
          <w:rFonts w:cstheme="minorHAnsi"/>
        </w:rPr>
        <w:t xml:space="preserve">er, Dr. Davey, </w:t>
      </w:r>
      <w:proofErr w:type="spellStart"/>
      <w:r w:rsidR="00F14FD4">
        <w:rPr>
          <w:rFonts w:cstheme="minorHAnsi"/>
        </w:rPr>
        <w:t>Baltej</w:t>
      </w:r>
      <w:proofErr w:type="spellEnd"/>
      <w:r w:rsidR="00F14FD4">
        <w:rPr>
          <w:rFonts w:cstheme="minorHAnsi"/>
        </w:rPr>
        <w:t xml:space="preserve"> Dhillon</w:t>
      </w:r>
      <w:r w:rsidR="00D3737E">
        <w:rPr>
          <w:rFonts w:cstheme="minorHAnsi"/>
        </w:rPr>
        <w:t xml:space="preserve">, </w:t>
      </w:r>
      <w:r w:rsidR="00EC3184">
        <w:rPr>
          <w:rFonts w:cstheme="minorHAnsi"/>
        </w:rPr>
        <w:t>Dr. Asmar</w:t>
      </w:r>
      <w:r w:rsidR="001A0927">
        <w:rPr>
          <w:rFonts w:cstheme="minorHAnsi"/>
        </w:rPr>
        <w:t>, Andrea Berry</w:t>
      </w:r>
      <w:r w:rsidR="00DE0D4F">
        <w:rPr>
          <w:rFonts w:cstheme="minorHAnsi"/>
        </w:rPr>
        <w:t>, Dr. Castiglioni</w:t>
      </w:r>
      <w:r w:rsidR="00495ABE">
        <w:rPr>
          <w:rFonts w:cstheme="minorHAnsi"/>
        </w:rPr>
        <w:t>, Dr. Dil</w:t>
      </w:r>
      <w:r w:rsidR="002269BE">
        <w:rPr>
          <w:rFonts w:cstheme="minorHAnsi"/>
        </w:rPr>
        <w:t>, Dr. Ebert</w:t>
      </w:r>
      <w:r w:rsidR="006305F3">
        <w:rPr>
          <w:rFonts w:cstheme="minorHAnsi"/>
        </w:rPr>
        <w:t>, Nadine Dexter</w:t>
      </w:r>
      <w:r w:rsidR="0008074E">
        <w:rPr>
          <w:rFonts w:cstheme="minorHAnsi"/>
        </w:rPr>
        <w:t>, Dr. Hernandez</w:t>
      </w:r>
      <w:r w:rsidR="001E4E86">
        <w:rPr>
          <w:rFonts w:cstheme="minorHAnsi"/>
        </w:rPr>
        <w:t>, Dr. Topping</w:t>
      </w:r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755"/>
        <w:gridCol w:w="8620"/>
        <w:gridCol w:w="2575"/>
      </w:tblGrid>
      <w:tr w:rsidR="00430F3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4A2639" w:rsidP="00234AD2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430F3C" w:rsidTr="003855A6">
        <w:tc>
          <w:tcPr>
            <w:tcW w:w="167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234AD2">
            <w:pPr>
              <w:spacing w:after="0" w:line="264" w:lineRule="auto"/>
            </w:pPr>
            <w:r>
              <w:t>Approval of minutes</w:t>
            </w:r>
          </w:p>
        </w:tc>
        <w:tc>
          <w:tcPr>
            <w:tcW w:w="869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BF39DF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401BF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01BFC" w:rsidRDefault="006E2981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BF39DF" w:rsidRDefault="00C35739" w:rsidP="006E298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Dr. Gorman sole </w:t>
            </w:r>
            <w:r w:rsidR="008B7AAF">
              <w:t xml:space="preserve">module </w:t>
            </w:r>
            <w:r>
              <w:t>director of Endocrine/Reproductive</w:t>
            </w:r>
            <w:r w:rsidR="008B7AAF">
              <w:t xml:space="preserve"> Systems</w:t>
            </w:r>
          </w:p>
          <w:p w:rsidR="00C35739" w:rsidRDefault="00C35739" w:rsidP="006E298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Dr. Rahman joining leadership team in FIRE module</w:t>
            </w:r>
            <w:r w:rsidR="008B7AAF">
              <w:t xml:space="preserve"> as co-director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401BFC" w:rsidRDefault="00401BF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CA53E6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CA53E6" w:rsidRDefault="006E2981">
            <w:pPr>
              <w:spacing w:after="0" w:line="264" w:lineRule="auto"/>
            </w:pPr>
            <w:r>
              <w:t>LCME/curriculum reform update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CA53E6" w:rsidRDefault="000D189A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B</w:t>
            </w:r>
            <w:r w:rsidR="00A7656C">
              <w:t>etter than average</w:t>
            </w:r>
            <w:r w:rsidR="001A0927">
              <w:t>.  Final report from committee is pending</w:t>
            </w:r>
          </w:p>
          <w:p w:rsidR="00A7656C" w:rsidRDefault="00816461" w:rsidP="0081646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Finances</w:t>
            </w:r>
            <w:r w:rsidR="000D189A">
              <w:t xml:space="preserve"> (standard</w:t>
            </w:r>
            <w:r w:rsidR="0064124C">
              <w:t>, not a going concern for UCF COM</w:t>
            </w:r>
            <w:r w:rsidR="000D189A">
              <w:t>)</w:t>
            </w:r>
          </w:p>
          <w:p w:rsidR="00816461" w:rsidRDefault="00F035AA" w:rsidP="0081646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Fair/timely summative assessment (clerkship grade/computer tech issue)</w:t>
            </w:r>
          </w:p>
          <w:p w:rsidR="000D189A" w:rsidRDefault="000D189A" w:rsidP="0081646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Student evaluations</w:t>
            </w:r>
            <w:r w:rsidR="00656C56">
              <w:t xml:space="preserve"> committee</w:t>
            </w:r>
          </w:p>
          <w:p w:rsidR="000D189A" w:rsidRDefault="000D189A" w:rsidP="0081646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Chair for admissions committee</w:t>
            </w:r>
            <w:r w:rsidR="00DB36D9">
              <w:t xml:space="preserve"> process</w:t>
            </w:r>
          </w:p>
          <w:p w:rsidR="00DB36D9" w:rsidRDefault="00DB36D9" w:rsidP="0081646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Diversity of student/faculty representation</w:t>
            </w:r>
          </w:p>
          <w:p w:rsidR="00DB36D9" w:rsidRDefault="0064124C" w:rsidP="0081646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Curriculum structure makes electives difficult to take in a timely manner</w:t>
            </w:r>
          </w:p>
          <w:p w:rsidR="0064124C" w:rsidRDefault="00A26555" w:rsidP="0081646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Sufficiency of faculty</w:t>
            </w:r>
          </w:p>
          <w:p w:rsidR="00A26555" w:rsidRDefault="00A26555" w:rsidP="0081646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Feedback/annual evaluations for affiliate and volunteer faculty</w:t>
            </w:r>
          </w:p>
          <w:p w:rsidR="00E419A9" w:rsidRDefault="00E419A9" w:rsidP="00E419A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Preliminary step 1 data for class of 2019:</w:t>
            </w:r>
          </w:p>
          <w:p w:rsidR="00E419A9" w:rsidRDefault="00DA07D0" w:rsidP="00BC0436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Mean of 229</w:t>
            </w:r>
            <w:r w:rsidR="00E72A29">
              <w:t xml:space="preserve"> (national mean </w:t>
            </w:r>
            <w:r w:rsidR="00BC0436">
              <w:t>is</w:t>
            </w:r>
            <w:r w:rsidR="00E72A29">
              <w:t xml:space="preserve"> 230)</w:t>
            </w:r>
            <w:r>
              <w:t>, 2 failures</w:t>
            </w:r>
          </w:p>
          <w:p w:rsidR="009512EB" w:rsidRDefault="009512EB" w:rsidP="009512EB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Curriculum, faculty, and student entrance statistics largely haven’t changed</w:t>
            </w:r>
          </w:p>
          <w:p w:rsidR="00C65ADA" w:rsidRDefault="00817481" w:rsidP="00C65ADA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Pilot project</w:t>
            </w:r>
            <w:r w:rsidR="0088523C">
              <w:t>/feasibility study</w:t>
            </w:r>
            <w:r>
              <w:t>: let 10 students take step 1 after year 3 rather than year 2</w:t>
            </w:r>
            <w:r w:rsidR="00021EC6">
              <w:t xml:space="preserve"> (some schools are already doing this)</w:t>
            </w:r>
            <w:r>
              <w:t>.</w:t>
            </w:r>
            <w:r w:rsidR="00C65ADA">
              <w:t xml:space="preserve"> </w:t>
            </w:r>
          </w:p>
          <w:p w:rsidR="00C65ADA" w:rsidRDefault="00C65ADA" w:rsidP="00C65ADA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Recognizing at-risk students</w:t>
            </w:r>
            <w:r w:rsidR="00F722FA">
              <w:t>, turnaround time for SEPC near end of M2</w:t>
            </w:r>
          </w:p>
          <w:p w:rsidR="00A11A6C" w:rsidRDefault="00A11A6C" w:rsidP="00A11A6C">
            <w:pPr>
              <w:pStyle w:val="ListParagraph"/>
              <w:numPr>
                <w:ilvl w:val="2"/>
                <w:numId w:val="1"/>
              </w:numPr>
              <w:spacing w:after="0" w:line="264" w:lineRule="auto"/>
            </w:pPr>
            <w:r>
              <w:t>Possibility of making step 1 not a requirement for M3</w:t>
            </w:r>
          </w:p>
          <w:p w:rsidR="0056183B" w:rsidRDefault="0056183B" w:rsidP="00A11A6C">
            <w:pPr>
              <w:pStyle w:val="ListParagraph"/>
              <w:numPr>
                <w:ilvl w:val="2"/>
                <w:numId w:val="1"/>
              </w:numPr>
              <w:spacing w:after="0" w:line="264" w:lineRule="auto"/>
            </w:pPr>
            <w:r>
              <w:t>Benefit of having foundational knowledge from studying for step 1 prior to clerkships</w:t>
            </w:r>
            <w:r w:rsidR="00305F07">
              <w:t>, refreshing knowledge just before M3</w:t>
            </w:r>
            <w:r w:rsidR="009879FF">
              <w:t xml:space="preserve"> vs synthesizing in clerkships</w:t>
            </w:r>
          </w:p>
          <w:p w:rsidR="00E974F1" w:rsidRDefault="00E974F1" w:rsidP="00A11A6C">
            <w:pPr>
              <w:pStyle w:val="ListParagraph"/>
              <w:numPr>
                <w:ilvl w:val="2"/>
                <w:numId w:val="1"/>
              </w:numPr>
              <w:spacing w:after="0" w:line="264" w:lineRule="auto"/>
            </w:pPr>
            <w:r>
              <w:t>Logistics issue, whether mean scores will significantly change, impact on low-performing students</w:t>
            </w:r>
          </w:p>
          <w:p w:rsidR="00237D67" w:rsidRDefault="002F57C2" w:rsidP="002F57C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Ideas to improve curriculum process</w:t>
            </w:r>
          </w:p>
          <w:p w:rsidR="002F57C2" w:rsidRDefault="00DB58EE" w:rsidP="00DB58EE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Short term changes to clerkships, task force creation for long term improvement</w:t>
            </w:r>
            <w:r w:rsidR="001F1643">
              <w:t xml:space="preserve"> to whole curriculum</w:t>
            </w:r>
          </w:p>
          <w:p w:rsidR="00CD011F" w:rsidRDefault="00CD011F" w:rsidP="00DB58EE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100% military and ophthalmology</w:t>
            </w:r>
            <w:r w:rsidR="00672BA8">
              <w:t xml:space="preserve"> match rate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CA53E6" w:rsidRDefault="00CA53E6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AB537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AB537C" w:rsidRDefault="006E2981">
            <w:pPr>
              <w:spacing w:after="0" w:line="264" w:lineRule="auto"/>
            </w:pPr>
            <w:r>
              <w:t>Student report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5B4992" w:rsidRDefault="006D3FA5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M2: Finished GI/Renal, performance was strong.</w:t>
            </w:r>
          </w:p>
          <w:p w:rsidR="006D3FA5" w:rsidRDefault="006D3FA5" w:rsidP="006D3FA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proofErr w:type="spellStart"/>
            <w:r>
              <w:t>Examplify</w:t>
            </w:r>
            <w:proofErr w:type="spellEnd"/>
            <w:r>
              <w:t>: graphs in images helped</w:t>
            </w:r>
          </w:p>
          <w:p w:rsidR="006D3FA5" w:rsidRDefault="006D3FA5" w:rsidP="006D3FA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M1: Dissection week, meeting regarding professionalism issues, </w:t>
            </w:r>
            <w:r w:rsidR="009F3058">
              <w:t>student goals (grades vs knowledge and interpersonal skills)</w:t>
            </w:r>
          </w:p>
          <w:p w:rsidR="005B044C" w:rsidRDefault="008B7AAF" w:rsidP="008B7AAF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Is reporting in</w:t>
            </w:r>
            <w:r w:rsidR="005B044C">
              <w:t xml:space="preserve"> </w:t>
            </w:r>
            <w:proofErr w:type="spellStart"/>
            <w:r w:rsidR="005B044C">
              <w:t>Promobes</w:t>
            </w:r>
            <w:proofErr w:type="spellEnd"/>
            <w:r w:rsidR="005B044C">
              <w:t xml:space="preserve"> </w:t>
            </w:r>
            <w:r>
              <w:t>adequately capturing professionalism issues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AB537C" w:rsidRDefault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30F3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6E2981">
            <w:pPr>
              <w:spacing w:after="0" w:line="264" w:lineRule="auto"/>
            </w:pPr>
            <w:proofErr w:type="spellStart"/>
            <w:r>
              <w:t>Examplify</w:t>
            </w:r>
            <w:proofErr w:type="spellEnd"/>
            <w:r>
              <w:t xml:space="preserve"> issues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D74414" w:rsidRDefault="00F32A8E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New version: exam user experience</w:t>
            </w:r>
            <w:r w:rsidR="007F2134">
              <w:t xml:space="preserve"> (for all schools using it)</w:t>
            </w:r>
          </w:p>
          <w:p w:rsidR="00F32A8E" w:rsidRDefault="00F32A8E" w:rsidP="00F32A8E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Freezes, navigation lag</w:t>
            </w:r>
          </w:p>
          <w:p w:rsidR="00F32A8E" w:rsidRDefault="00F32A8E" w:rsidP="00F32A8E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Additional time added for exams</w:t>
            </w:r>
          </w:p>
          <w:p w:rsidR="00F32A8E" w:rsidRDefault="002C3ACE" w:rsidP="002C3ACE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Students need to u</w:t>
            </w:r>
            <w:r w:rsidR="007F2134">
              <w:t>pgrade to 64 bit version</w:t>
            </w:r>
            <w:r>
              <w:t>, assessment can make a mock exam version available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CE0E17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CE0E17" w:rsidRDefault="006E2981" w:rsidP="00CE0E17">
            <w:pPr>
              <w:spacing w:after="0" w:line="264" w:lineRule="auto"/>
            </w:pPr>
            <w:r>
              <w:t>Scheduling in r25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614972" w:rsidRDefault="0039010A" w:rsidP="00C31DE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Increased scheduling conflicts, M3 scheduling in COM rooms</w:t>
            </w:r>
          </w:p>
          <w:p w:rsidR="0039010A" w:rsidRDefault="0039010A" w:rsidP="00C31DE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Some M3 practical exams will happen during P1/P2 time, which can influence how HB and Systems modules can alter schedules</w:t>
            </w:r>
          </w:p>
          <w:p w:rsidR="0039010A" w:rsidRDefault="0039010A" w:rsidP="00C31DE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M1/M2 start scheduling in September, a year before the rooms will be used.</w:t>
            </w:r>
          </w:p>
          <w:p w:rsidR="000B1E2C" w:rsidRDefault="000B1E2C" w:rsidP="00C31DE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Class attendance and room utilization</w:t>
            </w:r>
            <w:r w:rsidR="00865359">
              <w:t xml:space="preserve"> (15 students in a room for 120)</w:t>
            </w:r>
          </w:p>
          <w:p w:rsidR="00B80313" w:rsidRDefault="00B80313" w:rsidP="00C31DE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Set consistent </w:t>
            </w:r>
            <w:r w:rsidR="008452CE">
              <w:t xml:space="preserve">course </w:t>
            </w:r>
            <w:r>
              <w:t>template pattern to ease planning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CE0E17" w:rsidRDefault="00CE0E17" w:rsidP="00893315">
            <w:pPr>
              <w:numPr>
                <w:ilvl w:val="0"/>
                <w:numId w:val="1"/>
              </w:numPr>
              <w:spacing w:after="0"/>
            </w:pPr>
          </w:p>
        </w:tc>
      </w:tr>
      <w:tr w:rsidR="0092696A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92696A" w:rsidRDefault="006E2981" w:rsidP="00CE0E17">
            <w:pPr>
              <w:spacing w:after="0" w:line="264" w:lineRule="auto"/>
            </w:pPr>
            <w:r>
              <w:t>Small group task force update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116BE4" w:rsidRDefault="00CD4A51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Reviewed student comments</w:t>
            </w:r>
          </w:p>
          <w:p w:rsidR="00CD4A51" w:rsidRDefault="00CD4A51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Faculty focus groups</w:t>
            </w:r>
          </w:p>
          <w:p w:rsidR="00CD4A51" w:rsidRDefault="00CD4A51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Task force is going back to literature for recommendations/best practices</w:t>
            </w:r>
          </w:p>
          <w:p w:rsidR="00AC1372" w:rsidRDefault="00AC1372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S-4 optional small groups: </w:t>
            </w:r>
            <w:r w:rsidR="00E436EC">
              <w:t>application of material covered elsewhere.  Same style/setup as previous mandatory sessions, low attendance, high engagement among those who attended/faculty involvement</w:t>
            </w:r>
            <w:r w:rsidR="00423EA4">
              <w:t xml:space="preserve">.  Some didn’t like the cases, many were happy to work through on their own time when ready.  </w:t>
            </w:r>
          </w:p>
          <w:p w:rsidR="00127EE8" w:rsidRDefault="00127EE8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Social interaction/appropriateness of method for students today</w:t>
            </w:r>
          </w:p>
          <w:p w:rsidR="00E6762C" w:rsidRDefault="00E6762C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Values/beliefs/attitude regarding learning are not consistent even with 10 years ago</w:t>
            </w:r>
            <w:r w:rsidR="00011C2F">
              <w:t>, necessity of adjustment for faculty/students alike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92696A" w:rsidRDefault="0092696A" w:rsidP="00893315">
            <w:pPr>
              <w:numPr>
                <w:ilvl w:val="0"/>
                <w:numId w:val="1"/>
              </w:numPr>
              <w:spacing w:after="0"/>
            </w:pPr>
          </w:p>
        </w:tc>
      </w:tr>
      <w:tr w:rsidR="0092696A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92696A" w:rsidRDefault="0092696A" w:rsidP="00CE0E17">
            <w:pPr>
              <w:spacing w:after="0" w:line="264" w:lineRule="auto"/>
            </w:pP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6A341B" w:rsidRDefault="006A341B" w:rsidP="00B7300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92696A" w:rsidRDefault="0092696A" w:rsidP="00893315">
            <w:pPr>
              <w:numPr>
                <w:ilvl w:val="0"/>
                <w:numId w:val="1"/>
              </w:numPr>
              <w:spacing w:after="0"/>
            </w:pP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B75E2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C"/>
    <w:rsid w:val="00000ECA"/>
    <w:rsid w:val="0000586C"/>
    <w:rsid w:val="00007C48"/>
    <w:rsid w:val="00011C2F"/>
    <w:rsid w:val="000170C4"/>
    <w:rsid w:val="0001757B"/>
    <w:rsid w:val="00021EC6"/>
    <w:rsid w:val="00021F77"/>
    <w:rsid w:val="000230DA"/>
    <w:rsid w:val="0002647C"/>
    <w:rsid w:val="000446EE"/>
    <w:rsid w:val="000510C9"/>
    <w:rsid w:val="00057244"/>
    <w:rsid w:val="00063B5A"/>
    <w:rsid w:val="00063FFB"/>
    <w:rsid w:val="00075B05"/>
    <w:rsid w:val="0008074E"/>
    <w:rsid w:val="000821D0"/>
    <w:rsid w:val="00082EE6"/>
    <w:rsid w:val="000874A1"/>
    <w:rsid w:val="000A0D92"/>
    <w:rsid w:val="000A2576"/>
    <w:rsid w:val="000A6448"/>
    <w:rsid w:val="000B1E2C"/>
    <w:rsid w:val="000B2DBE"/>
    <w:rsid w:val="000B6858"/>
    <w:rsid w:val="000C1038"/>
    <w:rsid w:val="000C280F"/>
    <w:rsid w:val="000D0405"/>
    <w:rsid w:val="000D094D"/>
    <w:rsid w:val="000D189A"/>
    <w:rsid w:val="000E59A0"/>
    <w:rsid w:val="000F097D"/>
    <w:rsid w:val="000F1D91"/>
    <w:rsid w:val="000F76B9"/>
    <w:rsid w:val="001004DE"/>
    <w:rsid w:val="0010430A"/>
    <w:rsid w:val="0010533B"/>
    <w:rsid w:val="0010546D"/>
    <w:rsid w:val="00105478"/>
    <w:rsid w:val="0011040A"/>
    <w:rsid w:val="001129D8"/>
    <w:rsid w:val="00116BE4"/>
    <w:rsid w:val="00123374"/>
    <w:rsid w:val="00126B7B"/>
    <w:rsid w:val="00127EE8"/>
    <w:rsid w:val="00131DF5"/>
    <w:rsid w:val="0013369F"/>
    <w:rsid w:val="0014411A"/>
    <w:rsid w:val="00144B9F"/>
    <w:rsid w:val="00154753"/>
    <w:rsid w:val="001707C6"/>
    <w:rsid w:val="00172016"/>
    <w:rsid w:val="00172259"/>
    <w:rsid w:val="00172D3D"/>
    <w:rsid w:val="00181026"/>
    <w:rsid w:val="00185425"/>
    <w:rsid w:val="00193F75"/>
    <w:rsid w:val="001957E7"/>
    <w:rsid w:val="00196BA4"/>
    <w:rsid w:val="001A0927"/>
    <w:rsid w:val="001A0A07"/>
    <w:rsid w:val="001A2449"/>
    <w:rsid w:val="001B2BD8"/>
    <w:rsid w:val="001B3479"/>
    <w:rsid w:val="001B5915"/>
    <w:rsid w:val="001C2CC3"/>
    <w:rsid w:val="001C54FF"/>
    <w:rsid w:val="001D4469"/>
    <w:rsid w:val="001D69BF"/>
    <w:rsid w:val="001E26BA"/>
    <w:rsid w:val="001E4E86"/>
    <w:rsid w:val="001E647C"/>
    <w:rsid w:val="001F1643"/>
    <w:rsid w:val="002130C3"/>
    <w:rsid w:val="00215435"/>
    <w:rsid w:val="00216937"/>
    <w:rsid w:val="002269BE"/>
    <w:rsid w:val="00231EEB"/>
    <w:rsid w:val="00234AD2"/>
    <w:rsid w:val="00237616"/>
    <w:rsid w:val="00237D67"/>
    <w:rsid w:val="00244290"/>
    <w:rsid w:val="002471FB"/>
    <w:rsid w:val="00253A70"/>
    <w:rsid w:val="00255B04"/>
    <w:rsid w:val="002575B3"/>
    <w:rsid w:val="00260483"/>
    <w:rsid w:val="00291F31"/>
    <w:rsid w:val="002A4FC0"/>
    <w:rsid w:val="002A5A0E"/>
    <w:rsid w:val="002B0695"/>
    <w:rsid w:val="002B0B3C"/>
    <w:rsid w:val="002B2F08"/>
    <w:rsid w:val="002C0499"/>
    <w:rsid w:val="002C344C"/>
    <w:rsid w:val="002C3ACE"/>
    <w:rsid w:val="002C5521"/>
    <w:rsid w:val="002C67BB"/>
    <w:rsid w:val="002D2C97"/>
    <w:rsid w:val="002D57FA"/>
    <w:rsid w:val="002D5EEF"/>
    <w:rsid w:val="002D7D74"/>
    <w:rsid w:val="002E6330"/>
    <w:rsid w:val="002F0EB4"/>
    <w:rsid w:val="002F4BC1"/>
    <w:rsid w:val="002F57C2"/>
    <w:rsid w:val="00300CBC"/>
    <w:rsid w:val="00305F07"/>
    <w:rsid w:val="003202F4"/>
    <w:rsid w:val="00340A9F"/>
    <w:rsid w:val="0034124E"/>
    <w:rsid w:val="00344FD6"/>
    <w:rsid w:val="00352D6D"/>
    <w:rsid w:val="00353DDC"/>
    <w:rsid w:val="003547D5"/>
    <w:rsid w:val="0036187D"/>
    <w:rsid w:val="00370CCD"/>
    <w:rsid w:val="003855A6"/>
    <w:rsid w:val="0039010A"/>
    <w:rsid w:val="00395FE5"/>
    <w:rsid w:val="003A2803"/>
    <w:rsid w:val="003C4468"/>
    <w:rsid w:val="003D3BF4"/>
    <w:rsid w:val="003D5919"/>
    <w:rsid w:val="003D6C2C"/>
    <w:rsid w:val="003E4A51"/>
    <w:rsid w:val="003F3C29"/>
    <w:rsid w:val="003F4908"/>
    <w:rsid w:val="00401BFC"/>
    <w:rsid w:val="00404C59"/>
    <w:rsid w:val="00411F2B"/>
    <w:rsid w:val="00417CE8"/>
    <w:rsid w:val="004204B7"/>
    <w:rsid w:val="00423EA4"/>
    <w:rsid w:val="00430F3C"/>
    <w:rsid w:val="004439CD"/>
    <w:rsid w:val="00446037"/>
    <w:rsid w:val="00446A90"/>
    <w:rsid w:val="004732A0"/>
    <w:rsid w:val="004753CC"/>
    <w:rsid w:val="0047689C"/>
    <w:rsid w:val="00490772"/>
    <w:rsid w:val="00491CF8"/>
    <w:rsid w:val="00495ABE"/>
    <w:rsid w:val="004A12B4"/>
    <w:rsid w:val="004A1C30"/>
    <w:rsid w:val="004A2639"/>
    <w:rsid w:val="004A655B"/>
    <w:rsid w:val="004C7A5F"/>
    <w:rsid w:val="004D176F"/>
    <w:rsid w:val="004E33A6"/>
    <w:rsid w:val="004F6AB3"/>
    <w:rsid w:val="00501C9B"/>
    <w:rsid w:val="00507A00"/>
    <w:rsid w:val="0051413E"/>
    <w:rsid w:val="0052397A"/>
    <w:rsid w:val="00527FF3"/>
    <w:rsid w:val="00537192"/>
    <w:rsid w:val="00537ABF"/>
    <w:rsid w:val="00537B1D"/>
    <w:rsid w:val="00554DD1"/>
    <w:rsid w:val="0056183B"/>
    <w:rsid w:val="00567F1B"/>
    <w:rsid w:val="00570214"/>
    <w:rsid w:val="00576378"/>
    <w:rsid w:val="0057646A"/>
    <w:rsid w:val="0058477C"/>
    <w:rsid w:val="00584862"/>
    <w:rsid w:val="00587122"/>
    <w:rsid w:val="005970FC"/>
    <w:rsid w:val="00597672"/>
    <w:rsid w:val="005A0AEB"/>
    <w:rsid w:val="005B044C"/>
    <w:rsid w:val="005B4992"/>
    <w:rsid w:val="005B7993"/>
    <w:rsid w:val="005C1992"/>
    <w:rsid w:val="005D2933"/>
    <w:rsid w:val="005E3514"/>
    <w:rsid w:val="005E3D47"/>
    <w:rsid w:val="005E418A"/>
    <w:rsid w:val="00607855"/>
    <w:rsid w:val="00614972"/>
    <w:rsid w:val="00617BB9"/>
    <w:rsid w:val="006238E7"/>
    <w:rsid w:val="00623CA7"/>
    <w:rsid w:val="006272F5"/>
    <w:rsid w:val="006305F3"/>
    <w:rsid w:val="006312DF"/>
    <w:rsid w:val="0064124C"/>
    <w:rsid w:val="00656C56"/>
    <w:rsid w:val="0066060E"/>
    <w:rsid w:val="006671A9"/>
    <w:rsid w:val="00672BA8"/>
    <w:rsid w:val="00682B5C"/>
    <w:rsid w:val="0068471B"/>
    <w:rsid w:val="006A341B"/>
    <w:rsid w:val="006B4AFF"/>
    <w:rsid w:val="006C3CBD"/>
    <w:rsid w:val="006D3FA5"/>
    <w:rsid w:val="006D51AF"/>
    <w:rsid w:val="006D6AC3"/>
    <w:rsid w:val="006E2981"/>
    <w:rsid w:val="006F3ED2"/>
    <w:rsid w:val="006F5DBA"/>
    <w:rsid w:val="007007FB"/>
    <w:rsid w:val="0072073F"/>
    <w:rsid w:val="00722C5A"/>
    <w:rsid w:val="00724AEF"/>
    <w:rsid w:val="00725D3D"/>
    <w:rsid w:val="007535B5"/>
    <w:rsid w:val="00764886"/>
    <w:rsid w:val="0076759B"/>
    <w:rsid w:val="00780930"/>
    <w:rsid w:val="00780940"/>
    <w:rsid w:val="007908FA"/>
    <w:rsid w:val="00795ED5"/>
    <w:rsid w:val="007A38B7"/>
    <w:rsid w:val="007A713B"/>
    <w:rsid w:val="007B03A4"/>
    <w:rsid w:val="007B307F"/>
    <w:rsid w:val="007C6C50"/>
    <w:rsid w:val="007D2E56"/>
    <w:rsid w:val="007E6FB7"/>
    <w:rsid w:val="007F2134"/>
    <w:rsid w:val="007F5ED0"/>
    <w:rsid w:val="00810053"/>
    <w:rsid w:val="00816461"/>
    <w:rsid w:val="00817481"/>
    <w:rsid w:val="008351E1"/>
    <w:rsid w:val="008452CE"/>
    <w:rsid w:val="00851E97"/>
    <w:rsid w:val="00853940"/>
    <w:rsid w:val="0085545E"/>
    <w:rsid w:val="0086162F"/>
    <w:rsid w:val="00862976"/>
    <w:rsid w:val="00865359"/>
    <w:rsid w:val="008679B5"/>
    <w:rsid w:val="0088523C"/>
    <w:rsid w:val="00890BAE"/>
    <w:rsid w:val="00893315"/>
    <w:rsid w:val="00894DEF"/>
    <w:rsid w:val="008A3CB7"/>
    <w:rsid w:val="008A3FD9"/>
    <w:rsid w:val="008B5021"/>
    <w:rsid w:val="008B7AAF"/>
    <w:rsid w:val="008C52FC"/>
    <w:rsid w:val="008F1DB0"/>
    <w:rsid w:val="009042DD"/>
    <w:rsid w:val="00911453"/>
    <w:rsid w:val="00914DC9"/>
    <w:rsid w:val="00917B13"/>
    <w:rsid w:val="00917C46"/>
    <w:rsid w:val="0092175F"/>
    <w:rsid w:val="00921C3B"/>
    <w:rsid w:val="009233E9"/>
    <w:rsid w:val="0092696A"/>
    <w:rsid w:val="00932F66"/>
    <w:rsid w:val="00942131"/>
    <w:rsid w:val="0094219B"/>
    <w:rsid w:val="009512EB"/>
    <w:rsid w:val="00951BA8"/>
    <w:rsid w:val="00951DA9"/>
    <w:rsid w:val="00953CC6"/>
    <w:rsid w:val="00967801"/>
    <w:rsid w:val="009826B2"/>
    <w:rsid w:val="009879FF"/>
    <w:rsid w:val="00992B5C"/>
    <w:rsid w:val="00997035"/>
    <w:rsid w:val="009B7241"/>
    <w:rsid w:val="009C1108"/>
    <w:rsid w:val="009C300C"/>
    <w:rsid w:val="009D68DA"/>
    <w:rsid w:val="009E0804"/>
    <w:rsid w:val="009E586C"/>
    <w:rsid w:val="009F16EC"/>
    <w:rsid w:val="009F3058"/>
    <w:rsid w:val="009F6FD6"/>
    <w:rsid w:val="00A01285"/>
    <w:rsid w:val="00A11622"/>
    <w:rsid w:val="00A11A6C"/>
    <w:rsid w:val="00A14BD3"/>
    <w:rsid w:val="00A26555"/>
    <w:rsid w:val="00A369A6"/>
    <w:rsid w:val="00A37089"/>
    <w:rsid w:val="00A44BF3"/>
    <w:rsid w:val="00A466EB"/>
    <w:rsid w:val="00A46F6F"/>
    <w:rsid w:val="00A54EBB"/>
    <w:rsid w:val="00A6401E"/>
    <w:rsid w:val="00A6406E"/>
    <w:rsid w:val="00A70FB1"/>
    <w:rsid w:val="00A7656C"/>
    <w:rsid w:val="00A840A2"/>
    <w:rsid w:val="00A919D8"/>
    <w:rsid w:val="00AA798F"/>
    <w:rsid w:val="00AB537C"/>
    <w:rsid w:val="00AB6D3F"/>
    <w:rsid w:val="00AC1372"/>
    <w:rsid w:val="00AC6871"/>
    <w:rsid w:val="00AC7867"/>
    <w:rsid w:val="00AE5A89"/>
    <w:rsid w:val="00AF06C1"/>
    <w:rsid w:val="00AF4FAD"/>
    <w:rsid w:val="00AF5A6E"/>
    <w:rsid w:val="00AF7B96"/>
    <w:rsid w:val="00B1086C"/>
    <w:rsid w:val="00B16C22"/>
    <w:rsid w:val="00B233DD"/>
    <w:rsid w:val="00B23596"/>
    <w:rsid w:val="00B50B78"/>
    <w:rsid w:val="00B6682F"/>
    <w:rsid w:val="00B67247"/>
    <w:rsid w:val="00B67EBF"/>
    <w:rsid w:val="00B73002"/>
    <w:rsid w:val="00B80313"/>
    <w:rsid w:val="00BA0CD2"/>
    <w:rsid w:val="00BA1926"/>
    <w:rsid w:val="00BA209B"/>
    <w:rsid w:val="00BC0436"/>
    <w:rsid w:val="00BC3CF9"/>
    <w:rsid w:val="00BC4DB5"/>
    <w:rsid w:val="00BE586E"/>
    <w:rsid w:val="00BF39DF"/>
    <w:rsid w:val="00BF6BCE"/>
    <w:rsid w:val="00BF7916"/>
    <w:rsid w:val="00BF7AC2"/>
    <w:rsid w:val="00C0056C"/>
    <w:rsid w:val="00C20838"/>
    <w:rsid w:val="00C31106"/>
    <w:rsid w:val="00C31DE3"/>
    <w:rsid w:val="00C35739"/>
    <w:rsid w:val="00C42A4E"/>
    <w:rsid w:val="00C51712"/>
    <w:rsid w:val="00C65ADA"/>
    <w:rsid w:val="00C72A2C"/>
    <w:rsid w:val="00C845F0"/>
    <w:rsid w:val="00C87F1F"/>
    <w:rsid w:val="00C943F4"/>
    <w:rsid w:val="00CA1673"/>
    <w:rsid w:val="00CA53E6"/>
    <w:rsid w:val="00CB22F4"/>
    <w:rsid w:val="00CB6399"/>
    <w:rsid w:val="00CC44F1"/>
    <w:rsid w:val="00CC6BC0"/>
    <w:rsid w:val="00CD011F"/>
    <w:rsid w:val="00CD3D83"/>
    <w:rsid w:val="00CD4A51"/>
    <w:rsid w:val="00CD5ABE"/>
    <w:rsid w:val="00CE0E17"/>
    <w:rsid w:val="00CE585B"/>
    <w:rsid w:val="00D02C26"/>
    <w:rsid w:val="00D12026"/>
    <w:rsid w:val="00D17ECA"/>
    <w:rsid w:val="00D32A9D"/>
    <w:rsid w:val="00D33008"/>
    <w:rsid w:val="00D3737E"/>
    <w:rsid w:val="00D3751F"/>
    <w:rsid w:val="00D44CE2"/>
    <w:rsid w:val="00D4715D"/>
    <w:rsid w:val="00D513BB"/>
    <w:rsid w:val="00D533E7"/>
    <w:rsid w:val="00D70892"/>
    <w:rsid w:val="00D73E7C"/>
    <w:rsid w:val="00D74414"/>
    <w:rsid w:val="00D77A28"/>
    <w:rsid w:val="00D80F1A"/>
    <w:rsid w:val="00D80FBC"/>
    <w:rsid w:val="00D83CBC"/>
    <w:rsid w:val="00D97EF0"/>
    <w:rsid w:val="00DA07D0"/>
    <w:rsid w:val="00DA2828"/>
    <w:rsid w:val="00DA3FED"/>
    <w:rsid w:val="00DA4E84"/>
    <w:rsid w:val="00DB36D9"/>
    <w:rsid w:val="00DB58EE"/>
    <w:rsid w:val="00DB6EC9"/>
    <w:rsid w:val="00DE0D4F"/>
    <w:rsid w:val="00DE4B7F"/>
    <w:rsid w:val="00DF3F13"/>
    <w:rsid w:val="00E01ABC"/>
    <w:rsid w:val="00E15B7A"/>
    <w:rsid w:val="00E30756"/>
    <w:rsid w:val="00E35B15"/>
    <w:rsid w:val="00E41650"/>
    <w:rsid w:val="00E419A9"/>
    <w:rsid w:val="00E41BD2"/>
    <w:rsid w:val="00E436EC"/>
    <w:rsid w:val="00E46F17"/>
    <w:rsid w:val="00E52849"/>
    <w:rsid w:val="00E606C7"/>
    <w:rsid w:val="00E60FF1"/>
    <w:rsid w:val="00E63D09"/>
    <w:rsid w:val="00E6595D"/>
    <w:rsid w:val="00E6762C"/>
    <w:rsid w:val="00E72A29"/>
    <w:rsid w:val="00E77400"/>
    <w:rsid w:val="00E82C63"/>
    <w:rsid w:val="00E8316F"/>
    <w:rsid w:val="00E8374C"/>
    <w:rsid w:val="00E974F1"/>
    <w:rsid w:val="00EB4F18"/>
    <w:rsid w:val="00EC0B2F"/>
    <w:rsid w:val="00EC10D3"/>
    <w:rsid w:val="00EC2CEF"/>
    <w:rsid w:val="00EC3184"/>
    <w:rsid w:val="00ED0B3D"/>
    <w:rsid w:val="00EF2551"/>
    <w:rsid w:val="00EF32EB"/>
    <w:rsid w:val="00EF46AB"/>
    <w:rsid w:val="00F032F7"/>
    <w:rsid w:val="00F035AA"/>
    <w:rsid w:val="00F04D1F"/>
    <w:rsid w:val="00F115C5"/>
    <w:rsid w:val="00F13730"/>
    <w:rsid w:val="00F14FD4"/>
    <w:rsid w:val="00F16A5D"/>
    <w:rsid w:val="00F24450"/>
    <w:rsid w:val="00F30264"/>
    <w:rsid w:val="00F31398"/>
    <w:rsid w:val="00F32A8E"/>
    <w:rsid w:val="00F33961"/>
    <w:rsid w:val="00F46375"/>
    <w:rsid w:val="00F47D34"/>
    <w:rsid w:val="00F5612B"/>
    <w:rsid w:val="00F71FEE"/>
    <w:rsid w:val="00F722FA"/>
    <w:rsid w:val="00F76E1A"/>
    <w:rsid w:val="00F77F15"/>
    <w:rsid w:val="00F86602"/>
    <w:rsid w:val="00F931D5"/>
    <w:rsid w:val="00FA5752"/>
    <w:rsid w:val="00FA5A61"/>
    <w:rsid w:val="00FB6C25"/>
    <w:rsid w:val="00FC4796"/>
    <w:rsid w:val="00FC610B"/>
    <w:rsid w:val="00FD4298"/>
    <w:rsid w:val="00FE136F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45D7-8588-4B96-9BEC-4A58F96F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Gladielise Borges</cp:lastModifiedBy>
  <cp:revision>2</cp:revision>
  <dcterms:created xsi:type="dcterms:W3CDTF">2018-01-17T11:59:00Z</dcterms:created>
  <dcterms:modified xsi:type="dcterms:W3CDTF">2018-01-17T11:59:00Z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