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B73002">
        <w:rPr>
          <w:rFonts w:cstheme="minorHAnsi"/>
        </w:rPr>
        <w:t>1</w:t>
      </w:r>
      <w:r w:rsidR="007A4FF9">
        <w:rPr>
          <w:rFonts w:cstheme="minorHAnsi"/>
        </w:rPr>
        <w:t>2</w:t>
      </w:r>
      <w:r w:rsidR="00234AD2">
        <w:rPr>
          <w:rFonts w:cstheme="minorHAnsi"/>
        </w:rPr>
        <w:t>/</w:t>
      </w:r>
      <w:r w:rsidR="007A4FF9">
        <w:rPr>
          <w:rFonts w:cstheme="minorHAnsi"/>
        </w:rPr>
        <w:t>08</w:t>
      </w:r>
      <w:r w:rsidR="00234AD2">
        <w:rPr>
          <w:rFonts w:cstheme="minorHAnsi"/>
        </w:rPr>
        <w:t>/2017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EA57AA">
        <w:rPr>
          <w:rFonts w:cstheme="minorHAnsi"/>
        </w:rPr>
        <w:t>3:03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607053">
        <w:rPr>
          <w:rFonts w:cstheme="minorHAnsi"/>
        </w:rPr>
        <w:t>4:16</w:t>
      </w:r>
      <w:r w:rsidR="00CE585B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>Attendance:</w:t>
      </w:r>
      <w:r w:rsidR="008351E1">
        <w:rPr>
          <w:rFonts w:cstheme="minorHAnsi"/>
        </w:rPr>
        <w:t xml:space="preserve"> </w:t>
      </w:r>
      <w:r w:rsidR="009D68DA">
        <w:rPr>
          <w:rFonts w:cstheme="minorHAnsi"/>
        </w:rPr>
        <w:t>Phil Bellew</w:t>
      </w:r>
      <w:r w:rsidR="00810053">
        <w:rPr>
          <w:rFonts w:cstheme="minorHAnsi"/>
        </w:rPr>
        <w:t xml:space="preserve">, </w:t>
      </w:r>
      <w:r w:rsidR="007A4FF9">
        <w:rPr>
          <w:rFonts w:cstheme="minorHAnsi"/>
        </w:rPr>
        <w:t xml:space="preserve">Dr. Lambert, Dr. Hernandez, </w:t>
      </w:r>
      <w:r w:rsidR="007421C0">
        <w:rPr>
          <w:rFonts w:cstheme="minorHAnsi"/>
        </w:rPr>
        <w:t>Dr. Kibble, Dr. Bellew, Dr. Kauffman, Christie Hasegawa, Dr. Berman, Dr. Gorman, Jason Day, Amanda Blom, Nadine Dexter, Dr. Dil, Dr. Castiglioni</w:t>
      </w:r>
      <w:r w:rsidR="00EA57AA">
        <w:rPr>
          <w:rFonts w:cstheme="minorHAnsi"/>
        </w:rPr>
        <w:t>, Dr. Kay, Dr. Gros, Dale Vo</w:t>
      </w:r>
      <w:r w:rsidR="00945286">
        <w:rPr>
          <w:rFonts w:cstheme="minorHAnsi"/>
        </w:rPr>
        <w:t>o</w:t>
      </w:r>
      <w:r w:rsidR="00EA57AA">
        <w:rPr>
          <w:rFonts w:cstheme="minorHAnsi"/>
        </w:rPr>
        <w:t>rhees</w:t>
      </w:r>
      <w:r w:rsidR="00711F23">
        <w:rPr>
          <w:rFonts w:cstheme="minorHAnsi"/>
        </w:rPr>
        <w:t xml:space="preserve">, Dr. Harris, Dr. Ebert, Monica Bailey, </w:t>
      </w:r>
      <w:r w:rsidR="00A22183">
        <w:rPr>
          <w:rFonts w:cstheme="minorHAnsi"/>
        </w:rPr>
        <w:t>Bee</w:t>
      </w:r>
      <w:r w:rsidR="00020904">
        <w:rPr>
          <w:rFonts w:cstheme="minorHAnsi"/>
        </w:rPr>
        <w:t xml:space="preserve"> Ben Khallouq</w:t>
      </w:r>
      <w:r w:rsidR="00A22183">
        <w:rPr>
          <w:rFonts w:cstheme="minorHAnsi"/>
        </w:rPr>
        <w:t xml:space="preserve">, </w:t>
      </w:r>
      <w:r w:rsidR="0016227B">
        <w:rPr>
          <w:rFonts w:cstheme="minorHAnsi"/>
        </w:rPr>
        <w:t>Dr. Davey</w:t>
      </w:r>
      <w:r w:rsidR="00E05862">
        <w:rPr>
          <w:rFonts w:cstheme="minorHAnsi"/>
        </w:rPr>
        <w:t>, Dr. Rahman</w:t>
      </w:r>
      <w:r w:rsidR="00FA64A5">
        <w:rPr>
          <w:rFonts w:cstheme="minorHAnsi"/>
        </w:rPr>
        <w:t>, Dr. Beg</w:t>
      </w:r>
      <w:r w:rsidR="001859EF">
        <w:rPr>
          <w:rFonts w:cstheme="minorHAnsi"/>
        </w:rPr>
        <w:t>, Alisha Corsi</w:t>
      </w:r>
      <w:r w:rsidR="003E2386">
        <w:rPr>
          <w:rFonts w:cstheme="minorHAnsi"/>
        </w:rPr>
        <w:t>, Dr. Selim</w:t>
      </w:r>
      <w:r w:rsidR="001518AE">
        <w:rPr>
          <w:rFonts w:cstheme="minorHAnsi"/>
        </w:rPr>
        <w:t xml:space="preserve">, </w:t>
      </w:r>
      <w:proofErr w:type="spellStart"/>
      <w:r w:rsidR="001518AE">
        <w:rPr>
          <w:rFonts w:cstheme="minorHAnsi"/>
        </w:rPr>
        <w:t>Deedra</w:t>
      </w:r>
      <w:proofErr w:type="spellEnd"/>
      <w:r w:rsidR="001518AE">
        <w:rPr>
          <w:rFonts w:cstheme="minorHAnsi"/>
        </w:rPr>
        <w:t xml:space="preserve"> Walton</w:t>
      </w:r>
      <w:r w:rsidR="00FC3EBE">
        <w:rPr>
          <w:rFonts w:cstheme="minorHAnsi"/>
        </w:rPr>
        <w:t>, Dr. Verduin</w:t>
      </w:r>
      <w:r w:rsidR="003C4FB8">
        <w:rPr>
          <w:rFonts w:cstheme="minorHAnsi"/>
        </w:rPr>
        <w:t>, Brandon Marshall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8690"/>
        <w:gridCol w:w="2590"/>
      </w:tblGrid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3855A6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6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EA57AA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01BF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BF39DF" w:rsidRDefault="00711F23" w:rsidP="00711F2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New/returning student reps</w:t>
            </w:r>
          </w:p>
          <w:p w:rsidR="00711F23" w:rsidRDefault="00711F23" w:rsidP="00711F2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M1: </w:t>
            </w:r>
            <w:proofErr w:type="spellStart"/>
            <w:r w:rsidR="00FA6249">
              <w:t>Baltej</w:t>
            </w:r>
            <w:proofErr w:type="spellEnd"/>
            <w:r w:rsidR="00FA6249">
              <w:t xml:space="preserve"> Dhillon, Brandon Marshall, </w:t>
            </w:r>
            <w:proofErr w:type="spellStart"/>
            <w:r w:rsidR="00FA6249">
              <w:t>Meena</w:t>
            </w:r>
            <w:proofErr w:type="spellEnd"/>
            <w:r w:rsidR="00FA6249">
              <w:t xml:space="preserve"> </w:t>
            </w:r>
            <w:proofErr w:type="spellStart"/>
            <w:r w:rsidR="00FA6249">
              <w:t>Kanhai</w:t>
            </w:r>
            <w:proofErr w:type="spellEnd"/>
          </w:p>
          <w:p w:rsidR="00711F23" w:rsidRDefault="00711F23" w:rsidP="00711F2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M2:</w:t>
            </w:r>
            <w:r w:rsidR="00FA6249">
              <w:t xml:space="preserve"> Jason Day, Saskia Groenewald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A53E6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CA53E6" w:rsidRDefault="00711F23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proofErr w:type="spellStart"/>
            <w:r>
              <w:t>Examplify</w:t>
            </w:r>
            <w:proofErr w:type="spellEnd"/>
            <w:r>
              <w:t xml:space="preserve"> – S-2 exam, some questions prevented viewing questions and answer choices at the same time.</w:t>
            </w:r>
            <w:r w:rsidR="00A22183">
              <w:t xml:space="preserve">  M1 midterm indicated a few issues as well</w:t>
            </w:r>
          </w:p>
          <w:p w:rsidR="00A22183" w:rsidRDefault="00A22183" w:rsidP="005766C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M2s registered </w:t>
            </w:r>
            <w:r w:rsidR="0016227B">
              <w:t>for M3 rotations, would like to rank schedules knowing wh</w:t>
            </w:r>
            <w:r w:rsidR="005766C2">
              <w:t>ere each is within Orlando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A53E6" w:rsidRDefault="00562F7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Assessment Office will follow up with student reps.</w:t>
            </w:r>
          </w:p>
        </w:tc>
      </w:tr>
      <w:tr w:rsidR="00AB537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7421C0">
            <w:pPr>
              <w:spacing w:after="0" w:line="264" w:lineRule="auto"/>
            </w:pPr>
            <w:r>
              <w:t>Epidemiology report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5B4992" w:rsidRDefault="003E2386" w:rsidP="003E2386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Epidemiology teaching expertise: Drs. Rahman, Hines, </w:t>
            </w:r>
            <w:proofErr w:type="spellStart"/>
            <w:r>
              <w:t>Kalidindi</w:t>
            </w:r>
            <w:proofErr w:type="spellEnd"/>
          </w:p>
          <w:p w:rsidR="00C656B6" w:rsidRDefault="00C656B6" w:rsidP="003E2386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Summary of high yield epidemiology &amp; biostatistics topics</w:t>
            </w:r>
          </w:p>
          <w:p w:rsidR="00C656B6" w:rsidRDefault="00F650EF" w:rsidP="003E2386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Content coverage in Health &amp; Disease and FIRE modules</w:t>
            </w:r>
            <w:r w:rsidR="00EC23C5">
              <w:t xml:space="preserve"> (18 hours total)</w:t>
            </w:r>
          </w:p>
          <w:p w:rsidR="00F650EF" w:rsidRDefault="00EC23C5" w:rsidP="00EC23C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Some additional coverage in M3</w:t>
            </w:r>
          </w:p>
          <w:p w:rsidR="00F4066C" w:rsidRDefault="00562F70" w:rsidP="00562F7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There are some problems with integration of </w:t>
            </w:r>
            <w:proofErr w:type="spellStart"/>
            <w:r>
              <w:t>biostats</w:t>
            </w:r>
            <w:proofErr w:type="spellEnd"/>
            <w:r>
              <w:t xml:space="preserve"> and epidemiology between Health &amp; Disease and FIRE modules and M2 directors expressed concern about missing preparation in areas relating to probability in particular.</w:t>
            </w:r>
          </w:p>
          <w:p w:rsidR="008F6404" w:rsidRDefault="00F4066C" w:rsidP="00F4066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Motion: Convene a task force for biostatistics and epidemiology</w:t>
            </w:r>
            <w:r w:rsidR="00562F70">
              <w:t xml:space="preserve"> to review scope, teaching sequence and placement in M1/2 and integration with P2 and S- modules.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AB537C" w:rsidRDefault="0069247B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 (none opposed)</w:t>
            </w:r>
          </w:p>
        </w:tc>
      </w:tr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2D6623">
            <w:pPr>
              <w:spacing w:after="0" w:line="264" w:lineRule="auto"/>
            </w:pPr>
            <w:proofErr w:type="spellStart"/>
            <w:r>
              <w:t>Tealpass</w:t>
            </w:r>
            <w:proofErr w:type="spellEnd"/>
            <w:r>
              <w:t xml:space="preserve"> usage and scope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D74414" w:rsidRDefault="002D6623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Technology works well so far, students with the app are consistently represented when they sign in using the app</w:t>
            </w:r>
          </w:p>
          <w:p w:rsidR="002D6623" w:rsidRDefault="002D6623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WPA2 password updates for student </w:t>
            </w:r>
            <w:proofErr w:type="spellStart"/>
            <w:r>
              <w:t>wifi</w:t>
            </w:r>
            <w:proofErr w:type="spellEnd"/>
            <w:r>
              <w:t>, students must be on both</w:t>
            </w:r>
          </w:p>
          <w:p w:rsidR="006E5941" w:rsidRDefault="000F5C87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No a</w:t>
            </w:r>
            <w:r w:rsidR="006E5941">
              <w:t xml:space="preserve">ttendance </w:t>
            </w:r>
            <w:r w:rsidR="00562F70">
              <w:t xml:space="preserve">to be monitored </w:t>
            </w:r>
            <w:r w:rsidR="006E5941">
              <w:t>at non-mandatory session outside of informed consent study</w:t>
            </w:r>
            <w:r w:rsidR="00562F70">
              <w:t xml:space="preserve"> in GI/Renal module.</w:t>
            </w:r>
          </w:p>
          <w:p w:rsidR="007669F5" w:rsidRDefault="007669F5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Motion: Use </w:t>
            </w:r>
            <w:proofErr w:type="spellStart"/>
            <w:r>
              <w:t>tealpass</w:t>
            </w:r>
            <w:proofErr w:type="spellEnd"/>
            <w:r>
              <w:t xml:space="preserve"> at mandatory sessions in all M1/M2 modules</w:t>
            </w:r>
            <w:r w:rsidR="004C1C40">
              <w:t xml:space="preserve">, with the caveat that it meets university </w:t>
            </w:r>
            <w:r w:rsidR="00562F70">
              <w:t xml:space="preserve">IT security </w:t>
            </w:r>
            <w:r w:rsidR="004C1C40">
              <w:t>guidelines</w:t>
            </w:r>
            <w:r w:rsidR="00562F70">
              <w:t xml:space="preserve"> (pending)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FD37BB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 (none opposed)</w:t>
            </w:r>
          </w:p>
        </w:tc>
      </w:tr>
      <w:tr w:rsidR="00CE0E17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E0E17" w:rsidRDefault="00F26FAB" w:rsidP="00CE0E17">
            <w:pPr>
              <w:spacing w:after="0" w:line="264" w:lineRule="auto"/>
            </w:pPr>
            <w:r>
              <w:t>SEPC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614972" w:rsidRDefault="00F26FAB" w:rsidP="00C31DE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Assessment reporter role in </w:t>
            </w:r>
            <w:proofErr w:type="spellStart"/>
            <w:r>
              <w:t>Promobes</w:t>
            </w:r>
            <w:proofErr w:type="spellEnd"/>
          </w:p>
          <w:p w:rsidR="00F26FAB" w:rsidRDefault="00F26FAB" w:rsidP="00F26FA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Assessment </w:t>
            </w:r>
            <w:r w:rsidR="00562F70">
              <w:t xml:space="preserve">Office </w:t>
            </w:r>
            <w:r>
              <w:t>collects data on evaluations</w:t>
            </w:r>
            <w:r w:rsidR="003F1061">
              <w:t>, this allows the ability for them to report the data</w:t>
            </w:r>
          </w:p>
          <w:p w:rsidR="00F26FAB" w:rsidRDefault="003F1061" w:rsidP="009A0BA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Motion: </w:t>
            </w:r>
            <w:r w:rsidR="009A0BAB">
              <w:t>A</w:t>
            </w:r>
            <w:r>
              <w:t xml:space="preserve">ssessment </w:t>
            </w:r>
            <w:r w:rsidR="00562F70">
              <w:t xml:space="preserve">Office </w:t>
            </w:r>
            <w:r>
              <w:t xml:space="preserve">added to reporter role in </w:t>
            </w:r>
            <w:proofErr w:type="spellStart"/>
            <w:r>
              <w:t>Promobes</w:t>
            </w:r>
            <w:proofErr w:type="spellEnd"/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E0E17" w:rsidRDefault="002872E0" w:rsidP="00893315">
            <w:pPr>
              <w:numPr>
                <w:ilvl w:val="0"/>
                <w:numId w:val="1"/>
              </w:numPr>
              <w:spacing w:after="0"/>
            </w:pPr>
            <w:r>
              <w:t>Approved (none opposed)</w:t>
            </w:r>
          </w:p>
        </w:tc>
      </w:tr>
      <w:tr w:rsidR="0092696A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92696A" w:rsidRDefault="00E91F71" w:rsidP="00CE0E17">
            <w:pPr>
              <w:spacing w:after="0" w:line="264" w:lineRule="auto"/>
            </w:pPr>
            <w:r>
              <w:t>T grades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116BE4" w:rsidRDefault="00E91F71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Tabled pending information regarding predictive value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92696A" w:rsidRDefault="0092696A" w:rsidP="00893315">
            <w:pPr>
              <w:numPr>
                <w:ilvl w:val="0"/>
                <w:numId w:val="1"/>
              </w:numPr>
              <w:spacing w:after="0"/>
            </w:pPr>
          </w:p>
        </w:tc>
      </w:tr>
      <w:tr w:rsidR="00352CCA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352CCA" w:rsidRDefault="001567A6" w:rsidP="00CE0E17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352CCA" w:rsidRDefault="001567A6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Room reservations and start of class session timing</w:t>
            </w:r>
            <w:r w:rsidR="00562F70">
              <w:t xml:space="preserve"> – all sessions, including lunch time must end at 50 minutes past the hour to allow the next session to start on time. Student groups to be reminded by Student Affairs.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352CCA" w:rsidRDefault="00352CCA" w:rsidP="00893315">
            <w:pPr>
              <w:numPr>
                <w:ilvl w:val="0"/>
                <w:numId w:val="1"/>
              </w:numPr>
              <w:spacing w:after="0"/>
            </w:pPr>
          </w:p>
        </w:tc>
      </w:tr>
    </w:tbl>
    <w:p w:rsidR="00430F3C" w:rsidRDefault="00430F3C">
      <w:pPr>
        <w:spacing w:after="0" w:line="264" w:lineRule="auto"/>
      </w:pPr>
      <w:bookmarkStart w:id="0" w:name="_GoBack"/>
      <w:bookmarkEnd w:id="0"/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1E01"/>
    <w:rsid w:val="00007C48"/>
    <w:rsid w:val="000170C4"/>
    <w:rsid w:val="0001757B"/>
    <w:rsid w:val="00020904"/>
    <w:rsid w:val="00021F77"/>
    <w:rsid w:val="000230DA"/>
    <w:rsid w:val="0002647C"/>
    <w:rsid w:val="000446EE"/>
    <w:rsid w:val="000510C9"/>
    <w:rsid w:val="00055178"/>
    <w:rsid w:val="00057244"/>
    <w:rsid w:val="00061990"/>
    <w:rsid w:val="00063B5A"/>
    <w:rsid w:val="00063FFB"/>
    <w:rsid w:val="00075B05"/>
    <w:rsid w:val="000821D0"/>
    <w:rsid w:val="00082EE6"/>
    <w:rsid w:val="000874A1"/>
    <w:rsid w:val="000A0D92"/>
    <w:rsid w:val="000A2576"/>
    <w:rsid w:val="000A6448"/>
    <w:rsid w:val="000B2DBE"/>
    <w:rsid w:val="000B6858"/>
    <w:rsid w:val="000C1038"/>
    <w:rsid w:val="000C280F"/>
    <w:rsid w:val="000D0405"/>
    <w:rsid w:val="000D094D"/>
    <w:rsid w:val="000E59A0"/>
    <w:rsid w:val="000F097D"/>
    <w:rsid w:val="000F1D91"/>
    <w:rsid w:val="000F5C87"/>
    <w:rsid w:val="001004DE"/>
    <w:rsid w:val="0010430A"/>
    <w:rsid w:val="0010533B"/>
    <w:rsid w:val="0010546D"/>
    <w:rsid w:val="00105478"/>
    <w:rsid w:val="0011040A"/>
    <w:rsid w:val="001129D8"/>
    <w:rsid w:val="00116BE4"/>
    <w:rsid w:val="00123374"/>
    <w:rsid w:val="00126B7B"/>
    <w:rsid w:val="00131DF5"/>
    <w:rsid w:val="0013369F"/>
    <w:rsid w:val="0014411A"/>
    <w:rsid w:val="00144B9F"/>
    <w:rsid w:val="001518AE"/>
    <w:rsid w:val="00154753"/>
    <w:rsid w:val="001567A6"/>
    <w:rsid w:val="0016227B"/>
    <w:rsid w:val="001707C6"/>
    <w:rsid w:val="00172016"/>
    <w:rsid w:val="00172259"/>
    <w:rsid w:val="00172D3D"/>
    <w:rsid w:val="00181026"/>
    <w:rsid w:val="00185425"/>
    <w:rsid w:val="001859EF"/>
    <w:rsid w:val="00193F75"/>
    <w:rsid w:val="001957E7"/>
    <w:rsid w:val="00196BA4"/>
    <w:rsid w:val="001A0A07"/>
    <w:rsid w:val="001A2449"/>
    <w:rsid w:val="001B2BD8"/>
    <w:rsid w:val="001B3479"/>
    <w:rsid w:val="001B5915"/>
    <w:rsid w:val="001C2CC3"/>
    <w:rsid w:val="001C54FF"/>
    <w:rsid w:val="001D4469"/>
    <w:rsid w:val="001D69BF"/>
    <w:rsid w:val="001E26BA"/>
    <w:rsid w:val="001E647C"/>
    <w:rsid w:val="002130C3"/>
    <w:rsid w:val="00216937"/>
    <w:rsid w:val="00231EEB"/>
    <w:rsid w:val="00234AD2"/>
    <w:rsid w:val="00237616"/>
    <w:rsid w:val="00244290"/>
    <w:rsid w:val="002471FB"/>
    <w:rsid w:val="00253A70"/>
    <w:rsid w:val="00255B04"/>
    <w:rsid w:val="002575B3"/>
    <w:rsid w:val="00260483"/>
    <w:rsid w:val="002872E0"/>
    <w:rsid w:val="00291F31"/>
    <w:rsid w:val="002A4FC0"/>
    <w:rsid w:val="002B0695"/>
    <w:rsid w:val="002B0B3C"/>
    <w:rsid w:val="002B2F08"/>
    <w:rsid w:val="002C0499"/>
    <w:rsid w:val="002C344C"/>
    <w:rsid w:val="002C5521"/>
    <w:rsid w:val="002C67BB"/>
    <w:rsid w:val="002D2C97"/>
    <w:rsid w:val="002D57FA"/>
    <w:rsid w:val="002D5EEF"/>
    <w:rsid w:val="002D6623"/>
    <w:rsid w:val="002D7D74"/>
    <w:rsid w:val="002E6330"/>
    <w:rsid w:val="002F0EB4"/>
    <w:rsid w:val="002F4335"/>
    <w:rsid w:val="002F4BC1"/>
    <w:rsid w:val="003202F4"/>
    <w:rsid w:val="00340A9F"/>
    <w:rsid w:val="0034124E"/>
    <w:rsid w:val="00344FD6"/>
    <w:rsid w:val="00346E07"/>
    <w:rsid w:val="00352CCA"/>
    <w:rsid w:val="00352D6D"/>
    <w:rsid w:val="00353DDC"/>
    <w:rsid w:val="003547D5"/>
    <w:rsid w:val="0036187D"/>
    <w:rsid w:val="00370CCD"/>
    <w:rsid w:val="003855A6"/>
    <w:rsid w:val="003A2803"/>
    <w:rsid w:val="003C4468"/>
    <w:rsid w:val="003C4FB8"/>
    <w:rsid w:val="003D3BF4"/>
    <w:rsid w:val="003D5919"/>
    <w:rsid w:val="003D6C2C"/>
    <w:rsid w:val="003E2386"/>
    <w:rsid w:val="003E4A51"/>
    <w:rsid w:val="003F1061"/>
    <w:rsid w:val="003F3C29"/>
    <w:rsid w:val="003F4908"/>
    <w:rsid w:val="00401BFC"/>
    <w:rsid w:val="00404C59"/>
    <w:rsid w:val="00417CE8"/>
    <w:rsid w:val="004204B7"/>
    <w:rsid w:val="00430F3C"/>
    <w:rsid w:val="004439CD"/>
    <w:rsid w:val="00446037"/>
    <w:rsid w:val="00446A90"/>
    <w:rsid w:val="004732A0"/>
    <w:rsid w:val="004753CC"/>
    <w:rsid w:val="0047689C"/>
    <w:rsid w:val="00490772"/>
    <w:rsid w:val="00491CF8"/>
    <w:rsid w:val="004A12B4"/>
    <w:rsid w:val="004A1C30"/>
    <w:rsid w:val="004A2639"/>
    <w:rsid w:val="004B68F8"/>
    <w:rsid w:val="004C1C40"/>
    <w:rsid w:val="004C7A5F"/>
    <w:rsid w:val="004D0540"/>
    <w:rsid w:val="004D176F"/>
    <w:rsid w:val="004E33A6"/>
    <w:rsid w:val="004F6AB3"/>
    <w:rsid w:val="00501C9B"/>
    <w:rsid w:val="00507A00"/>
    <w:rsid w:val="0051413E"/>
    <w:rsid w:val="0052397A"/>
    <w:rsid w:val="005272E5"/>
    <w:rsid w:val="00527FF3"/>
    <w:rsid w:val="00531C05"/>
    <w:rsid w:val="00537192"/>
    <w:rsid w:val="00537ABF"/>
    <w:rsid w:val="00537B1D"/>
    <w:rsid w:val="00554DD1"/>
    <w:rsid w:val="00562F70"/>
    <w:rsid w:val="00567F1B"/>
    <w:rsid w:val="00570214"/>
    <w:rsid w:val="00576378"/>
    <w:rsid w:val="0057646A"/>
    <w:rsid w:val="005766C2"/>
    <w:rsid w:val="0058477C"/>
    <w:rsid w:val="00584862"/>
    <w:rsid w:val="00587122"/>
    <w:rsid w:val="005970FC"/>
    <w:rsid w:val="00597672"/>
    <w:rsid w:val="005A0AEB"/>
    <w:rsid w:val="005B4992"/>
    <w:rsid w:val="005B7993"/>
    <w:rsid w:val="005C1992"/>
    <w:rsid w:val="005D2933"/>
    <w:rsid w:val="005E3514"/>
    <w:rsid w:val="005E3D47"/>
    <w:rsid w:val="005E418A"/>
    <w:rsid w:val="00607053"/>
    <w:rsid w:val="00607855"/>
    <w:rsid w:val="00614972"/>
    <w:rsid w:val="00617BB9"/>
    <w:rsid w:val="006238E7"/>
    <w:rsid w:val="00623CA7"/>
    <w:rsid w:val="006272F5"/>
    <w:rsid w:val="006312DF"/>
    <w:rsid w:val="0066060E"/>
    <w:rsid w:val="006671A9"/>
    <w:rsid w:val="00682B5C"/>
    <w:rsid w:val="0068471B"/>
    <w:rsid w:val="0069247B"/>
    <w:rsid w:val="006A341B"/>
    <w:rsid w:val="006B4AFF"/>
    <w:rsid w:val="006C3CBD"/>
    <w:rsid w:val="006D51AF"/>
    <w:rsid w:val="006D6AC3"/>
    <w:rsid w:val="006E5941"/>
    <w:rsid w:val="006F3ED2"/>
    <w:rsid w:val="006F5DBA"/>
    <w:rsid w:val="007007FB"/>
    <w:rsid w:val="00711F23"/>
    <w:rsid w:val="0072073F"/>
    <w:rsid w:val="00722C5A"/>
    <w:rsid w:val="00724AEF"/>
    <w:rsid w:val="00725D3D"/>
    <w:rsid w:val="007421C0"/>
    <w:rsid w:val="007535B5"/>
    <w:rsid w:val="00764886"/>
    <w:rsid w:val="007669F5"/>
    <w:rsid w:val="0076759B"/>
    <w:rsid w:val="00780930"/>
    <w:rsid w:val="00780940"/>
    <w:rsid w:val="007908FA"/>
    <w:rsid w:val="00795ED5"/>
    <w:rsid w:val="007A38B7"/>
    <w:rsid w:val="007A4FF9"/>
    <w:rsid w:val="007A713B"/>
    <w:rsid w:val="007B03A4"/>
    <w:rsid w:val="007B307F"/>
    <w:rsid w:val="007C6C50"/>
    <w:rsid w:val="007D2E56"/>
    <w:rsid w:val="007E6FB7"/>
    <w:rsid w:val="007F5ED0"/>
    <w:rsid w:val="00810053"/>
    <w:rsid w:val="008351E1"/>
    <w:rsid w:val="00851E97"/>
    <w:rsid w:val="00853940"/>
    <w:rsid w:val="0085545E"/>
    <w:rsid w:val="0086162F"/>
    <w:rsid w:val="00862976"/>
    <w:rsid w:val="008646FA"/>
    <w:rsid w:val="008679B5"/>
    <w:rsid w:val="008834B2"/>
    <w:rsid w:val="00883C5C"/>
    <w:rsid w:val="00890BAE"/>
    <w:rsid w:val="00893315"/>
    <w:rsid w:val="00894DEF"/>
    <w:rsid w:val="008A3CB7"/>
    <w:rsid w:val="008A3FD9"/>
    <w:rsid w:val="008B5021"/>
    <w:rsid w:val="008B7760"/>
    <w:rsid w:val="008C52FC"/>
    <w:rsid w:val="008F1DB0"/>
    <w:rsid w:val="008F6404"/>
    <w:rsid w:val="009042DD"/>
    <w:rsid w:val="00911453"/>
    <w:rsid w:val="00914DC9"/>
    <w:rsid w:val="00917B13"/>
    <w:rsid w:val="00917C46"/>
    <w:rsid w:val="0092175F"/>
    <w:rsid w:val="00921C3B"/>
    <w:rsid w:val="009233E9"/>
    <w:rsid w:val="0092696A"/>
    <w:rsid w:val="00932F66"/>
    <w:rsid w:val="00942131"/>
    <w:rsid w:val="0094219B"/>
    <w:rsid w:val="00945286"/>
    <w:rsid w:val="00951BA8"/>
    <w:rsid w:val="00951DA9"/>
    <w:rsid w:val="00953CC6"/>
    <w:rsid w:val="00967801"/>
    <w:rsid w:val="009826B2"/>
    <w:rsid w:val="00992B5C"/>
    <w:rsid w:val="00997035"/>
    <w:rsid w:val="009A0BAB"/>
    <w:rsid w:val="009B7241"/>
    <w:rsid w:val="009C1108"/>
    <w:rsid w:val="009C300C"/>
    <w:rsid w:val="009D68DA"/>
    <w:rsid w:val="009E0804"/>
    <w:rsid w:val="009E586C"/>
    <w:rsid w:val="009F16EC"/>
    <w:rsid w:val="009F6FD6"/>
    <w:rsid w:val="00A01285"/>
    <w:rsid w:val="00A0181F"/>
    <w:rsid w:val="00A06A89"/>
    <w:rsid w:val="00A11622"/>
    <w:rsid w:val="00A14BD3"/>
    <w:rsid w:val="00A22183"/>
    <w:rsid w:val="00A37089"/>
    <w:rsid w:val="00A44BF3"/>
    <w:rsid w:val="00A466EB"/>
    <w:rsid w:val="00A46F6F"/>
    <w:rsid w:val="00A54EBB"/>
    <w:rsid w:val="00A6401E"/>
    <w:rsid w:val="00A6406E"/>
    <w:rsid w:val="00A70FB1"/>
    <w:rsid w:val="00A840A2"/>
    <w:rsid w:val="00A87EEB"/>
    <w:rsid w:val="00A919D8"/>
    <w:rsid w:val="00AA798F"/>
    <w:rsid w:val="00AB537C"/>
    <w:rsid w:val="00AB6D3F"/>
    <w:rsid w:val="00AC6871"/>
    <w:rsid w:val="00AC7867"/>
    <w:rsid w:val="00AE55D5"/>
    <w:rsid w:val="00AE5A89"/>
    <w:rsid w:val="00AF06C1"/>
    <w:rsid w:val="00AF4FAD"/>
    <w:rsid w:val="00AF5A6E"/>
    <w:rsid w:val="00AF7B96"/>
    <w:rsid w:val="00B1086C"/>
    <w:rsid w:val="00B16C22"/>
    <w:rsid w:val="00B233DD"/>
    <w:rsid w:val="00B23596"/>
    <w:rsid w:val="00B45195"/>
    <w:rsid w:val="00B50B78"/>
    <w:rsid w:val="00B6682F"/>
    <w:rsid w:val="00B67247"/>
    <w:rsid w:val="00B67EBF"/>
    <w:rsid w:val="00B73002"/>
    <w:rsid w:val="00BA0CD2"/>
    <w:rsid w:val="00BA1926"/>
    <w:rsid w:val="00BA209B"/>
    <w:rsid w:val="00BC3CF9"/>
    <w:rsid w:val="00BC4DB5"/>
    <w:rsid w:val="00BE586E"/>
    <w:rsid w:val="00BE7559"/>
    <w:rsid w:val="00BF39DF"/>
    <w:rsid w:val="00BF6BCE"/>
    <w:rsid w:val="00BF7916"/>
    <w:rsid w:val="00BF7AC2"/>
    <w:rsid w:val="00C0056C"/>
    <w:rsid w:val="00C20838"/>
    <w:rsid w:val="00C31106"/>
    <w:rsid w:val="00C31DE3"/>
    <w:rsid w:val="00C42A4E"/>
    <w:rsid w:val="00C470B1"/>
    <w:rsid w:val="00C51712"/>
    <w:rsid w:val="00C656B6"/>
    <w:rsid w:val="00C72A2C"/>
    <w:rsid w:val="00C845F0"/>
    <w:rsid w:val="00C87F1F"/>
    <w:rsid w:val="00C943F4"/>
    <w:rsid w:val="00CA1673"/>
    <w:rsid w:val="00CA53E6"/>
    <w:rsid w:val="00CB22F4"/>
    <w:rsid w:val="00CB6399"/>
    <w:rsid w:val="00CC44F1"/>
    <w:rsid w:val="00CC6BC0"/>
    <w:rsid w:val="00CD3D83"/>
    <w:rsid w:val="00CD5ABE"/>
    <w:rsid w:val="00CE0E17"/>
    <w:rsid w:val="00CE585B"/>
    <w:rsid w:val="00D02C26"/>
    <w:rsid w:val="00D12026"/>
    <w:rsid w:val="00D17ECA"/>
    <w:rsid w:val="00D32A9D"/>
    <w:rsid w:val="00D33008"/>
    <w:rsid w:val="00D3751F"/>
    <w:rsid w:val="00D44CE2"/>
    <w:rsid w:val="00D4715D"/>
    <w:rsid w:val="00D513BB"/>
    <w:rsid w:val="00D533E7"/>
    <w:rsid w:val="00D64FBD"/>
    <w:rsid w:val="00D70892"/>
    <w:rsid w:val="00D73E7C"/>
    <w:rsid w:val="00D74414"/>
    <w:rsid w:val="00D77A28"/>
    <w:rsid w:val="00D80F1A"/>
    <w:rsid w:val="00D80FBC"/>
    <w:rsid w:val="00D83CBC"/>
    <w:rsid w:val="00D97EF0"/>
    <w:rsid w:val="00DA2828"/>
    <w:rsid w:val="00DA3FED"/>
    <w:rsid w:val="00DA4E84"/>
    <w:rsid w:val="00DB6EC9"/>
    <w:rsid w:val="00DE4B7F"/>
    <w:rsid w:val="00DF3F13"/>
    <w:rsid w:val="00E01ABC"/>
    <w:rsid w:val="00E05862"/>
    <w:rsid w:val="00E15B7A"/>
    <w:rsid w:val="00E30756"/>
    <w:rsid w:val="00E35B15"/>
    <w:rsid w:val="00E41650"/>
    <w:rsid w:val="00E41BD2"/>
    <w:rsid w:val="00E46F17"/>
    <w:rsid w:val="00E51051"/>
    <w:rsid w:val="00E5130B"/>
    <w:rsid w:val="00E52849"/>
    <w:rsid w:val="00E606C7"/>
    <w:rsid w:val="00E60FF1"/>
    <w:rsid w:val="00E63D09"/>
    <w:rsid w:val="00E6595D"/>
    <w:rsid w:val="00E77400"/>
    <w:rsid w:val="00E82C63"/>
    <w:rsid w:val="00E8316F"/>
    <w:rsid w:val="00E8374C"/>
    <w:rsid w:val="00E83ED5"/>
    <w:rsid w:val="00E91F71"/>
    <w:rsid w:val="00EA57AA"/>
    <w:rsid w:val="00EB4F18"/>
    <w:rsid w:val="00EC0B2F"/>
    <w:rsid w:val="00EC10D3"/>
    <w:rsid w:val="00EC23C5"/>
    <w:rsid w:val="00EC2CEF"/>
    <w:rsid w:val="00ED0B3D"/>
    <w:rsid w:val="00EE2904"/>
    <w:rsid w:val="00EF2551"/>
    <w:rsid w:val="00EF32EB"/>
    <w:rsid w:val="00EF46AB"/>
    <w:rsid w:val="00F032F7"/>
    <w:rsid w:val="00F04D1F"/>
    <w:rsid w:val="00F115C5"/>
    <w:rsid w:val="00F13730"/>
    <w:rsid w:val="00F16A5D"/>
    <w:rsid w:val="00F24450"/>
    <w:rsid w:val="00F26FAB"/>
    <w:rsid w:val="00F30264"/>
    <w:rsid w:val="00F31398"/>
    <w:rsid w:val="00F33961"/>
    <w:rsid w:val="00F4066C"/>
    <w:rsid w:val="00F46375"/>
    <w:rsid w:val="00F47D34"/>
    <w:rsid w:val="00F5612B"/>
    <w:rsid w:val="00F650EF"/>
    <w:rsid w:val="00F71FEE"/>
    <w:rsid w:val="00F76E1A"/>
    <w:rsid w:val="00F77F15"/>
    <w:rsid w:val="00F86602"/>
    <w:rsid w:val="00F931D5"/>
    <w:rsid w:val="00FA5752"/>
    <w:rsid w:val="00FA5A61"/>
    <w:rsid w:val="00FA6249"/>
    <w:rsid w:val="00FA64A5"/>
    <w:rsid w:val="00FB6C25"/>
    <w:rsid w:val="00FC3EBE"/>
    <w:rsid w:val="00FC4796"/>
    <w:rsid w:val="00FC610B"/>
    <w:rsid w:val="00FD37BB"/>
    <w:rsid w:val="00FD4298"/>
    <w:rsid w:val="00FE136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9930-F048-43AA-9B00-A6EF88BE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2018-01-22T13:54:00Z</dcterms:created>
  <dcterms:modified xsi:type="dcterms:W3CDTF">2018-01-22T13:54:00Z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