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B73002">
        <w:rPr>
          <w:rFonts w:cstheme="minorHAnsi"/>
        </w:rPr>
        <w:t>10</w:t>
      </w:r>
      <w:r w:rsidR="00234AD2">
        <w:rPr>
          <w:rFonts w:cstheme="minorHAnsi"/>
        </w:rPr>
        <w:t>/</w:t>
      </w:r>
      <w:r w:rsidR="00C0056C">
        <w:rPr>
          <w:rFonts w:cstheme="minorHAnsi"/>
        </w:rPr>
        <w:t>1</w:t>
      </w:r>
      <w:r w:rsidR="00B73002">
        <w:rPr>
          <w:rFonts w:cstheme="minorHAnsi"/>
        </w:rPr>
        <w:t>3</w:t>
      </w:r>
      <w:r w:rsidR="00234AD2">
        <w:rPr>
          <w:rFonts w:cstheme="minorHAnsi"/>
        </w:rPr>
        <w:t>/2017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Start Time: </w:t>
      </w:r>
      <w:r w:rsidR="008B5021">
        <w:rPr>
          <w:rFonts w:cstheme="minorHAnsi"/>
        </w:rPr>
        <w:t>3:06</w:t>
      </w:r>
      <w:r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8646FA">
        <w:rPr>
          <w:rFonts w:cstheme="minorHAnsi"/>
        </w:rPr>
        <w:t>4:00</w:t>
      </w:r>
      <w:r w:rsidR="00CE585B"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>Attendance:</w:t>
      </w:r>
      <w:r w:rsidR="008351E1">
        <w:rPr>
          <w:rFonts w:cstheme="minorHAnsi"/>
        </w:rPr>
        <w:t xml:space="preserve"> </w:t>
      </w:r>
      <w:r w:rsidR="009D68DA">
        <w:rPr>
          <w:rFonts w:cstheme="minorHAnsi"/>
        </w:rPr>
        <w:t>Phil Bellew</w:t>
      </w:r>
      <w:r w:rsidR="00810053">
        <w:rPr>
          <w:rFonts w:cstheme="minorHAnsi"/>
        </w:rPr>
        <w:t xml:space="preserve">, </w:t>
      </w:r>
      <w:r w:rsidR="00C0056C">
        <w:rPr>
          <w:rFonts w:cstheme="minorHAnsi"/>
        </w:rPr>
        <w:t xml:space="preserve">Dr. Kibble, </w:t>
      </w:r>
      <w:r w:rsidR="00B73002">
        <w:rPr>
          <w:rFonts w:cstheme="minorHAnsi"/>
        </w:rPr>
        <w:t>Dale Voorhees</w:t>
      </w:r>
      <w:r w:rsidR="0002647C">
        <w:rPr>
          <w:rFonts w:cstheme="minorHAnsi"/>
        </w:rPr>
        <w:t>, Dr. Hernandez</w:t>
      </w:r>
      <w:r w:rsidR="002A4FC0">
        <w:rPr>
          <w:rFonts w:cstheme="minorHAnsi"/>
        </w:rPr>
        <w:t>, Alisha Corsi, Jason Day</w:t>
      </w:r>
      <w:r w:rsidR="00C42A4E">
        <w:rPr>
          <w:rFonts w:cstheme="minorHAnsi"/>
        </w:rPr>
        <w:t xml:space="preserve">, </w:t>
      </w:r>
      <w:r w:rsidR="00570214">
        <w:rPr>
          <w:rFonts w:cstheme="minorHAnsi"/>
        </w:rPr>
        <w:t xml:space="preserve">Dr. Gorman, Allison Carli, </w:t>
      </w:r>
      <w:r w:rsidR="00BE7559">
        <w:rPr>
          <w:rFonts w:cstheme="minorHAnsi"/>
        </w:rPr>
        <w:t xml:space="preserve">Janae Mason, </w:t>
      </w:r>
      <w:r w:rsidR="00570214">
        <w:rPr>
          <w:rFonts w:cstheme="minorHAnsi"/>
        </w:rPr>
        <w:t xml:space="preserve">Dr. Harris, Bee, Amanda Blom, Dr. Peppler, Dr. Daroowalla, Deedra Walton, Elizabeth Ivey, Dr. Gros, Soraya Smith, Dr. LaRochelle, </w:t>
      </w:r>
      <w:r w:rsidR="001957E7">
        <w:rPr>
          <w:rFonts w:cstheme="minorHAnsi"/>
        </w:rPr>
        <w:t xml:space="preserve">Dr. Kauffman, Dr. Dil, Dr. Beg, </w:t>
      </w:r>
      <w:r w:rsidR="00D70892">
        <w:rPr>
          <w:rFonts w:cstheme="minorHAnsi"/>
        </w:rPr>
        <w:t>Dr. Ebert,</w:t>
      </w:r>
      <w:r w:rsidR="009C1108">
        <w:rPr>
          <w:rFonts w:cstheme="minorHAnsi"/>
        </w:rPr>
        <w:t xml:space="preserve"> </w:t>
      </w:r>
      <w:r w:rsidR="00FA5752">
        <w:rPr>
          <w:rFonts w:cstheme="minorHAnsi"/>
        </w:rPr>
        <w:t>Dr. Simms-Cendan</w:t>
      </w:r>
      <w:r w:rsidR="00C31DE3">
        <w:rPr>
          <w:rFonts w:cstheme="minorHAnsi"/>
        </w:rPr>
        <w:t>, Nadine Dexter</w:t>
      </w:r>
      <w:r w:rsidR="005E3D47">
        <w:rPr>
          <w:rFonts w:cstheme="minorHAnsi"/>
        </w:rPr>
        <w:t>, Melissa Cowan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70"/>
        <w:gridCol w:w="8690"/>
        <w:gridCol w:w="2590"/>
      </w:tblGrid>
      <w:tr w:rsidR="00430F3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430F3C" w:rsidTr="003855A6">
        <w:tc>
          <w:tcPr>
            <w:tcW w:w="167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6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BF39DF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401BF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EB4F18" w:rsidRDefault="00BF39DF" w:rsidP="0092696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Out-of-class work update</w:t>
            </w:r>
          </w:p>
          <w:p w:rsidR="00BF39DF" w:rsidRDefault="00CA53E6" w:rsidP="00BF39DF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M1 ~1h/week, M2 near 0 on average, both below 6/week policy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CA53E6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CA53E6" w:rsidRDefault="00CA53E6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Cardio/Pulm went smoothly, Endo/Rep is off to a good start</w:t>
            </w:r>
          </w:p>
          <w:p w:rsidR="00CA53E6" w:rsidRDefault="00CA53E6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Some students concern</w:t>
            </w:r>
            <w:r w:rsidR="00C470B1">
              <w:t>ed</w:t>
            </w:r>
            <w:r>
              <w:t xml:space="preserve"> with FIRE/CoP, don’t know where to start/want direction.</w:t>
            </w:r>
          </w:p>
          <w:p w:rsidR="00CA53E6" w:rsidRDefault="00CA53E6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Examplify transition speed</w:t>
            </w:r>
            <w:r w:rsidR="00D513BB">
              <w:t xml:space="preserve"> (~second moving between problems), UI issues when reading and interacting with questions</w:t>
            </w:r>
            <w:r w:rsidR="00181026">
              <w:t>, assessment working to address issues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AB537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AB537C" w:rsidRDefault="002B0695">
            <w:pPr>
              <w:spacing w:after="0" w:line="264" w:lineRule="auto"/>
            </w:pPr>
            <w:r>
              <w:t>PES report deadlines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4D176F" w:rsidRDefault="009E586C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Reminder: Individual module reports due within 60 days of the module</w:t>
            </w:r>
          </w:p>
          <w:p w:rsidR="00181026" w:rsidRDefault="005B4992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PES is looking at end-of-year reports, faculty evaluation items </w:t>
            </w:r>
          </w:p>
          <w:p w:rsidR="005B4992" w:rsidRDefault="005B4992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PES chair-elect: Dr. Harris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AB537C" w:rsidRDefault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30F3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2B0695">
            <w:pPr>
              <w:spacing w:after="0" w:line="264" w:lineRule="auto"/>
            </w:pPr>
            <w:r>
              <w:t>LCME preparation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EB4F18" w:rsidRDefault="00E83ED5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U</w:t>
            </w:r>
            <w:r w:rsidR="00D74414">
              <w:t>pdated tables &amp; faculty assignments</w:t>
            </w:r>
          </w:p>
          <w:p w:rsidR="00D74414" w:rsidRDefault="00D74414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Classification of faculty, promotion &amp; tenure success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CE0E17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E0E17" w:rsidRDefault="002B0695" w:rsidP="00CE0E17">
            <w:pPr>
              <w:spacing w:after="0" w:line="264" w:lineRule="auto"/>
            </w:pPr>
            <w:r>
              <w:t>Orientation CBSE for M2 students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953CC6" w:rsidRDefault="00237616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Originally a benchmark for curriculum</w:t>
            </w:r>
            <w:r w:rsidR="0051413E">
              <w:t xml:space="preserve"> (does not have</w:t>
            </w:r>
            <w:r w:rsidR="00614972">
              <w:t xml:space="preserve"> much</w:t>
            </w:r>
            <w:r w:rsidR="0051413E">
              <w:t xml:space="preserve"> predictive value for Step 1)</w:t>
            </w:r>
            <w:r>
              <w:t>, utility provided for COM at this point, hidden curriculum</w:t>
            </w:r>
            <w:r w:rsidR="00E83ED5">
              <w:t xml:space="preserve"> concern that Step 1 is over emphasized at the start of M2.</w:t>
            </w:r>
          </w:p>
          <w:p w:rsidR="002F0EB4" w:rsidRDefault="002F0EB4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End of M2 exam has predictive value, SASS uses it to help prepare plans for students</w:t>
            </w:r>
          </w:p>
          <w:p w:rsidR="00614972" w:rsidRDefault="00237616" w:rsidP="00C31DE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lastRenderedPageBreak/>
              <w:t>Proposal: remove practice NBME exam from orientation week for M2</w:t>
            </w:r>
            <w:r w:rsidR="00C31DE3">
              <w:t>, keep end-of-year exam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CE0E17" w:rsidRDefault="0058477C" w:rsidP="00893315">
            <w:pPr>
              <w:numPr>
                <w:ilvl w:val="0"/>
                <w:numId w:val="1"/>
              </w:numPr>
              <w:spacing w:after="0"/>
            </w:pPr>
            <w:r>
              <w:lastRenderedPageBreak/>
              <w:t>Approved</w:t>
            </w:r>
          </w:p>
        </w:tc>
      </w:tr>
      <w:tr w:rsidR="0092696A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92696A" w:rsidRDefault="002B0695" w:rsidP="00CE0E17">
            <w:pPr>
              <w:spacing w:after="0" w:line="264" w:lineRule="auto"/>
            </w:pPr>
            <w:r>
              <w:t>Small group task force update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2C5521" w:rsidRDefault="00795ED5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Analyzed student evaluations using specific search criteria</w:t>
            </w:r>
          </w:p>
          <w:p w:rsidR="00795ED5" w:rsidRDefault="00795ED5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Group will split evaluations to see themes/trends</w:t>
            </w:r>
          </w:p>
          <w:p w:rsidR="00795ED5" w:rsidRDefault="00E15B7A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Group will also reach out to faculty to get their views also</w:t>
            </w:r>
          </w:p>
          <w:p w:rsidR="00116BE4" w:rsidRDefault="009233E9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Director e</w:t>
            </w:r>
            <w:r w:rsidR="00116BE4">
              <w:t>xperiences with teams in Cardio/Pulm and Endo/Rep</w:t>
            </w:r>
            <w:r w:rsidR="00BE586E">
              <w:t>, debrief/feedback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92696A" w:rsidRDefault="0092696A" w:rsidP="00893315">
            <w:pPr>
              <w:numPr>
                <w:ilvl w:val="0"/>
                <w:numId w:val="1"/>
              </w:numPr>
              <w:spacing w:after="0"/>
            </w:pPr>
          </w:p>
        </w:tc>
      </w:tr>
      <w:tr w:rsidR="0092696A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92696A" w:rsidRDefault="002B0695" w:rsidP="00CE0E17">
            <w:pPr>
              <w:spacing w:after="0" w:line="264" w:lineRule="auto"/>
            </w:pPr>
            <w:r>
              <w:t>Other business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6A341B" w:rsidRDefault="007E6FB7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Kuracloud has pre-established cases/activities that we can now access and use/bring over</w:t>
            </w:r>
            <w:r w:rsidR="00123374">
              <w:t>/use as template for structuring content.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92696A" w:rsidRDefault="0092696A" w:rsidP="00893315">
            <w:pPr>
              <w:numPr>
                <w:ilvl w:val="0"/>
                <w:numId w:val="1"/>
              </w:numPr>
              <w:spacing w:after="0"/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B75E2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7C48"/>
    <w:rsid w:val="000170C4"/>
    <w:rsid w:val="0001757B"/>
    <w:rsid w:val="00021F77"/>
    <w:rsid w:val="000230DA"/>
    <w:rsid w:val="0002647C"/>
    <w:rsid w:val="000446EE"/>
    <w:rsid w:val="000510C9"/>
    <w:rsid w:val="00057244"/>
    <w:rsid w:val="00063B5A"/>
    <w:rsid w:val="00063FFB"/>
    <w:rsid w:val="00075B05"/>
    <w:rsid w:val="000821D0"/>
    <w:rsid w:val="00082EE6"/>
    <w:rsid w:val="000874A1"/>
    <w:rsid w:val="000A0D92"/>
    <w:rsid w:val="000A2576"/>
    <w:rsid w:val="000A6448"/>
    <w:rsid w:val="000B2DBE"/>
    <w:rsid w:val="000B6858"/>
    <w:rsid w:val="000C1038"/>
    <w:rsid w:val="000C280F"/>
    <w:rsid w:val="000D0405"/>
    <w:rsid w:val="000D094D"/>
    <w:rsid w:val="000E59A0"/>
    <w:rsid w:val="000F097D"/>
    <w:rsid w:val="000F1D91"/>
    <w:rsid w:val="001004DE"/>
    <w:rsid w:val="0010430A"/>
    <w:rsid w:val="0010533B"/>
    <w:rsid w:val="0010546D"/>
    <w:rsid w:val="00105478"/>
    <w:rsid w:val="0011040A"/>
    <w:rsid w:val="001129D8"/>
    <w:rsid w:val="00116BE4"/>
    <w:rsid w:val="00123374"/>
    <w:rsid w:val="00126B7B"/>
    <w:rsid w:val="00131DF5"/>
    <w:rsid w:val="0013369F"/>
    <w:rsid w:val="0014411A"/>
    <w:rsid w:val="00144B9F"/>
    <w:rsid w:val="00154753"/>
    <w:rsid w:val="001707C6"/>
    <w:rsid w:val="00172016"/>
    <w:rsid w:val="00172259"/>
    <w:rsid w:val="00172D3D"/>
    <w:rsid w:val="00181026"/>
    <w:rsid w:val="00185425"/>
    <w:rsid w:val="00193F75"/>
    <w:rsid w:val="001957E7"/>
    <w:rsid w:val="00196BA4"/>
    <w:rsid w:val="001A0A07"/>
    <w:rsid w:val="001A2449"/>
    <w:rsid w:val="001B2BD8"/>
    <w:rsid w:val="001B3479"/>
    <w:rsid w:val="001B5915"/>
    <w:rsid w:val="001C2CC3"/>
    <w:rsid w:val="001C54FF"/>
    <w:rsid w:val="001D4469"/>
    <w:rsid w:val="001D69BF"/>
    <w:rsid w:val="001E26BA"/>
    <w:rsid w:val="001E647C"/>
    <w:rsid w:val="002130C3"/>
    <w:rsid w:val="00216937"/>
    <w:rsid w:val="00231EEB"/>
    <w:rsid w:val="00234AD2"/>
    <w:rsid w:val="00237616"/>
    <w:rsid w:val="00244290"/>
    <w:rsid w:val="002471FB"/>
    <w:rsid w:val="00253A70"/>
    <w:rsid w:val="00255B04"/>
    <w:rsid w:val="002575B3"/>
    <w:rsid w:val="00260483"/>
    <w:rsid w:val="00291F31"/>
    <w:rsid w:val="002A4FC0"/>
    <w:rsid w:val="002B0695"/>
    <w:rsid w:val="002B0B3C"/>
    <w:rsid w:val="002B2F08"/>
    <w:rsid w:val="002C0499"/>
    <w:rsid w:val="002C344C"/>
    <w:rsid w:val="002C5521"/>
    <w:rsid w:val="002C67BB"/>
    <w:rsid w:val="002D2C97"/>
    <w:rsid w:val="002D57FA"/>
    <w:rsid w:val="002D5EEF"/>
    <w:rsid w:val="002D7D74"/>
    <w:rsid w:val="002E6330"/>
    <w:rsid w:val="002F0EB4"/>
    <w:rsid w:val="002F4BC1"/>
    <w:rsid w:val="003202F4"/>
    <w:rsid w:val="00340A9F"/>
    <w:rsid w:val="0034124E"/>
    <w:rsid w:val="00344FD6"/>
    <w:rsid w:val="00352D6D"/>
    <w:rsid w:val="00353DDC"/>
    <w:rsid w:val="003547D5"/>
    <w:rsid w:val="0036187D"/>
    <w:rsid w:val="00370CCD"/>
    <w:rsid w:val="003855A6"/>
    <w:rsid w:val="003A2803"/>
    <w:rsid w:val="003C4468"/>
    <w:rsid w:val="003D3BF4"/>
    <w:rsid w:val="003D5919"/>
    <w:rsid w:val="003D6C2C"/>
    <w:rsid w:val="003E4A51"/>
    <w:rsid w:val="003F3C29"/>
    <w:rsid w:val="003F4908"/>
    <w:rsid w:val="00401BFC"/>
    <w:rsid w:val="00404C59"/>
    <w:rsid w:val="00417CE8"/>
    <w:rsid w:val="004204B7"/>
    <w:rsid w:val="00430F3C"/>
    <w:rsid w:val="004439CD"/>
    <w:rsid w:val="00446037"/>
    <w:rsid w:val="00446A90"/>
    <w:rsid w:val="004732A0"/>
    <w:rsid w:val="004753CC"/>
    <w:rsid w:val="0047689C"/>
    <w:rsid w:val="00490772"/>
    <w:rsid w:val="00491CF8"/>
    <w:rsid w:val="004A12B4"/>
    <w:rsid w:val="004A1C30"/>
    <w:rsid w:val="004A2639"/>
    <w:rsid w:val="004C7A5F"/>
    <w:rsid w:val="004D176F"/>
    <w:rsid w:val="004E33A6"/>
    <w:rsid w:val="004F6AB3"/>
    <w:rsid w:val="00501C9B"/>
    <w:rsid w:val="00507A00"/>
    <w:rsid w:val="0051413E"/>
    <w:rsid w:val="0052397A"/>
    <w:rsid w:val="00527FF3"/>
    <w:rsid w:val="00537192"/>
    <w:rsid w:val="00537ABF"/>
    <w:rsid w:val="00537B1D"/>
    <w:rsid w:val="00554DD1"/>
    <w:rsid w:val="00567F1B"/>
    <w:rsid w:val="00570214"/>
    <w:rsid w:val="00576378"/>
    <w:rsid w:val="0057646A"/>
    <w:rsid w:val="0058477C"/>
    <w:rsid w:val="00584862"/>
    <w:rsid w:val="00587122"/>
    <w:rsid w:val="005970FC"/>
    <w:rsid w:val="00597672"/>
    <w:rsid w:val="005A0AEB"/>
    <w:rsid w:val="005B4992"/>
    <w:rsid w:val="005B7993"/>
    <w:rsid w:val="005C1992"/>
    <w:rsid w:val="005D2933"/>
    <w:rsid w:val="005E3514"/>
    <w:rsid w:val="005E3D47"/>
    <w:rsid w:val="005E418A"/>
    <w:rsid w:val="00607855"/>
    <w:rsid w:val="00614972"/>
    <w:rsid w:val="00617BB9"/>
    <w:rsid w:val="006238E7"/>
    <w:rsid w:val="00623CA7"/>
    <w:rsid w:val="006272F5"/>
    <w:rsid w:val="006312DF"/>
    <w:rsid w:val="0066060E"/>
    <w:rsid w:val="006671A9"/>
    <w:rsid w:val="00682B5C"/>
    <w:rsid w:val="0068471B"/>
    <w:rsid w:val="006A341B"/>
    <w:rsid w:val="006B4AFF"/>
    <w:rsid w:val="006C3CBD"/>
    <w:rsid w:val="006D51AF"/>
    <w:rsid w:val="006D6AC3"/>
    <w:rsid w:val="006F3ED2"/>
    <w:rsid w:val="006F5DBA"/>
    <w:rsid w:val="007007FB"/>
    <w:rsid w:val="0072073F"/>
    <w:rsid w:val="00722C5A"/>
    <w:rsid w:val="00724AEF"/>
    <w:rsid w:val="00725D3D"/>
    <w:rsid w:val="007535B5"/>
    <w:rsid w:val="00764886"/>
    <w:rsid w:val="0076759B"/>
    <w:rsid w:val="00780930"/>
    <w:rsid w:val="00780940"/>
    <w:rsid w:val="007908FA"/>
    <w:rsid w:val="00795ED5"/>
    <w:rsid w:val="007A38B7"/>
    <w:rsid w:val="007A713B"/>
    <w:rsid w:val="007B03A4"/>
    <w:rsid w:val="007B307F"/>
    <w:rsid w:val="007C6C50"/>
    <w:rsid w:val="007D2E56"/>
    <w:rsid w:val="007E6FB7"/>
    <w:rsid w:val="007F5ED0"/>
    <w:rsid w:val="00810053"/>
    <w:rsid w:val="008351E1"/>
    <w:rsid w:val="00851E97"/>
    <w:rsid w:val="00853940"/>
    <w:rsid w:val="0085545E"/>
    <w:rsid w:val="0086162F"/>
    <w:rsid w:val="00862976"/>
    <w:rsid w:val="008646FA"/>
    <w:rsid w:val="008679B5"/>
    <w:rsid w:val="00890BAE"/>
    <w:rsid w:val="00893315"/>
    <w:rsid w:val="00894DEF"/>
    <w:rsid w:val="008A3CB7"/>
    <w:rsid w:val="008A3FD9"/>
    <w:rsid w:val="008B5021"/>
    <w:rsid w:val="008C52FC"/>
    <w:rsid w:val="008F1DB0"/>
    <w:rsid w:val="009042DD"/>
    <w:rsid w:val="00911453"/>
    <w:rsid w:val="00914DC9"/>
    <w:rsid w:val="00917B13"/>
    <w:rsid w:val="00917C46"/>
    <w:rsid w:val="0092175F"/>
    <w:rsid w:val="00921C3B"/>
    <w:rsid w:val="009233E9"/>
    <w:rsid w:val="0092696A"/>
    <w:rsid w:val="00932F66"/>
    <w:rsid w:val="00942131"/>
    <w:rsid w:val="0094219B"/>
    <w:rsid w:val="00951BA8"/>
    <w:rsid w:val="00951DA9"/>
    <w:rsid w:val="00953CC6"/>
    <w:rsid w:val="00967801"/>
    <w:rsid w:val="009826B2"/>
    <w:rsid w:val="00992B5C"/>
    <w:rsid w:val="00997035"/>
    <w:rsid w:val="009B7241"/>
    <w:rsid w:val="009C1108"/>
    <w:rsid w:val="009C300C"/>
    <w:rsid w:val="009D68DA"/>
    <w:rsid w:val="009E0804"/>
    <w:rsid w:val="009E586C"/>
    <w:rsid w:val="009F16EC"/>
    <w:rsid w:val="009F6FD6"/>
    <w:rsid w:val="00A01285"/>
    <w:rsid w:val="00A11622"/>
    <w:rsid w:val="00A14BD3"/>
    <w:rsid w:val="00A37089"/>
    <w:rsid w:val="00A44BF3"/>
    <w:rsid w:val="00A466EB"/>
    <w:rsid w:val="00A46F6F"/>
    <w:rsid w:val="00A54EBB"/>
    <w:rsid w:val="00A6401E"/>
    <w:rsid w:val="00A6406E"/>
    <w:rsid w:val="00A70FB1"/>
    <w:rsid w:val="00A840A2"/>
    <w:rsid w:val="00A919D8"/>
    <w:rsid w:val="00AA798F"/>
    <w:rsid w:val="00AB537C"/>
    <w:rsid w:val="00AB6D3F"/>
    <w:rsid w:val="00AC6871"/>
    <w:rsid w:val="00AC7867"/>
    <w:rsid w:val="00AE5A89"/>
    <w:rsid w:val="00AF06C1"/>
    <w:rsid w:val="00AF4FAD"/>
    <w:rsid w:val="00AF5A6E"/>
    <w:rsid w:val="00AF7B96"/>
    <w:rsid w:val="00B1086C"/>
    <w:rsid w:val="00B16C22"/>
    <w:rsid w:val="00B233DD"/>
    <w:rsid w:val="00B23596"/>
    <w:rsid w:val="00B50B78"/>
    <w:rsid w:val="00B6682F"/>
    <w:rsid w:val="00B67247"/>
    <w:rsid w:val="00B67EBF"/>
    <w:rsid w:val="00B73002"/>
    <w:rsid w:val="00BA0CD2"/>
    <w:rsid w:val="00BA1926"/>
    <w:rsid w:val="00BA209B"/>
    <w:rsid w:val="00BC3CF9"/>
    <w:rsid w:val="00BC4DB5"/>
    <w:rsid w:val="00BE586E"/>
    <w:rsid w:val="00BE7559"/>
    <w:rsid w:val="00BF39DF"/>
    <w:rsid w:val="00BF6BCE"/>
    <w:rsid w:val="00BF7916"/>
    <w:rsid w:val="00BF7AC2"/>
    <w:rsid w:val="00C0056C"/>
    <w:rsid w:val="00C20838"/>
    <w:rsid w:val="00C31106"/>
    <w:rsid w:val="00C31DE3"/>
    <w:rsid w:val="00C42A4E"/>
    <w:rsid w:val="00C470B1"/>
    <w:rsid w:val="00C51712"/>
    <w:rsid w:val="00C72A2C"/>
    <w:rsid w:val="00C845F0"/>
    <w:rsid w:val="00C87F1F"/>
    <w:rsid w:val="00C943F4"/>
    <w:rsid w:val="00CA1673"/>
    <w:rsid w:val="00CA53E6"/>
    <w:rsid w:val="00CB22F4"/>
    <w:rsid w:val="00CB6399"/>
    <w:rsid w:val="00CC44F1"/>
    <w:rsid w:val="00CC6BC0"/>
    <w:rsid w:val="00CD3D83"/>
    <w:rsid w:val="00CD5ABE"/>
    <w:rsid w:val="00CE0E17"/>
    <w:rsid w:val="00CE585B"/>
    <w:rsid w:val="00D02C26"/>
    <w:rsid w:val="00D12026"/>
    <w:rsid w:val="00D17ECA"/>
    <w:rsid w:val="00D32A9D"/>
    <w:rsid w:val="00D33008"/>
    <w:rsid w:val="00D3751F"/>
    <w:rsid w:val="00D44CE2"/>
    <w:rsid w:val="00D4715D"/>
    <w:rsid w:val="00D513BB"/>
    <w:rsid w:val="00D533E7"/>
    <w:rsid w:val="00D70892"/>
    <w:rsid w:val="00D73E7C"/>
    <w:rsid w:val="00D74414"/>
    <w:rsid w:val="00D77A28"/>
    <w:rsid w:val="00D80F1A"/>
    <w:rsid w:val="00D80FBC"/>
    <w:rsid w:val="00D83CBC"/>
    <w:rsid w:val="00D97EF0"/>
    <w:rsid w:val="00DA2828"/>
    <w:rsid w:val="00DA3FED"/>
    <w:rsid w:val="00DA4E84"/>
    <w:rsid w:val="00DB6EC9"/>
    <w:rsid w:val="00DB705A"/>
    <w:rsid w:val="00DE4B7F"/>
    <w:rsid w:val="00DF3F13"/>
    <w:rsid w:val="00E01ABC"/>
    <w:rsid w:val="00E15B7A"/>
    <w:rsid w:val="00E30756"/>
    <w:rsid w:val="00E35B15"/>
    <w:rsid w:val="00E41650"/>
    <w:rsid w:val="00E41BD2"/>
    <w:rsid w:val="00E46F17"/>
    <w:rsid w:val="00E52849"/>
    <w:rsid w:val="00E606C7"/>
    <w:rsid w:val="00E60FF1"/>
    <w:rsid w:val="00E63D09"/>
    <w:rsid w:val="00E6595D"/>
    <w:rsid w:val="00E77400"/>
    <w:rsid w:val="00E82C63"/>
    <w:rsid w:val="00E8316F"/>
    <w:rsid w:val="00E8374C"/>
    <w:rsid w:val="00E83ED5"/>
    <w:rsid w:val="00EB4F18"/>
    <w:rsid w:val="00EC0B2F"/>
    <w:rsid w:val="00EC10D3"/>
    <w:rsid w:val="00EC2CEF"/>
    <w:rsid w:val="00ED0B3D"/>
    <w:rsid w:val="00EF2551"/>
    <w:rsid w:val="00EF32EB"/>
    <w:rsid w:val="00EF46AB"/>
    <w:rsid w:val="00F032F7"/>
    <w:rsid w:val="00F04D1F"/>
    <w:rsid w:val="00F115C5"/>
    <w:rsid w:val="00F13730"/>
    <w:rsid w:val="00F16A5D"/>
    <w:rsid w:val="00F24450"/>
    <w:rsid w:val="00F30264"/>
    <w:rsid w:val="00F31398"/>
    <w:rsid w:val="00F33961"/>
    <w:rsid w:val="00F46375"/>
    <w:rsid w:val="00F47D34"/>
    <w:rsid w:val="00F5612B"/>
    <w:rsid w:val="00F71FEE"/>
    <w:rsid w:val="00F76E1A"/>
    <w:rsid w:val="00F77F15"/>
    <w:rsid w:val="00F86602"/>
    <w:rsid w:val="00F931D5"/>
    <w:rsid w:val="00FA5752"/>
    <w:rsid w:val="00FA5A61"/>
    <w:rsid w:val="00FB6C25"/>
    <w:rsid w:val="00FC4796"/>
    <w:rsid w:val="00FC610B"/>
    <w:rsid w:val="00FD4298"/>
    <w:rsid w:val="00FE136F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744C-4816-4498-9951-BFC1D772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2017-11-20T14:03:00Z</dcterms:created>
  <dcterms:modified xsi:type="dcterms:W3CDTF">2017-11-20T14:03:00Z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