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0F1D91">
        <w:rPr>
          <w:rFonts w:cstheme="minorHAnsi"/>
        </w:rPr>
        <w:t>3</w:t>
      </w:r>
      <w:r w:rsidR="00234AD2">
        <w:rPr>
          <w:rFonts w:cstheme="minorHAnsi"/>
        </w:rPr>
        <w:t>/10/2017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Start Time: </w:t>
      </w:r>
      <w:r w:rsidR="009826B2">
        <w:rPr>
          <w:rFonts w:cstheme="minorHAnsi"/>
        </w:rPr>
        <w:t>3:0</w:t>
      </w:r>
      <w:r w:rsidR="000F1D91">
        <w:rPr>
          <w:rFonts w:cstheme="minorHAnsi"/>
        </w:rPr>
        <w:t>4</w:t>
      </w:r>
      <w:r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7A713B">
        <w:rPr>
          <w:rFonts w:cstheme="minorHAnsi"/>
        </w:rPr>
        <w:t>4:55</w:t>
      </w:r>
      <w:r>
        <w:rPr>
          <w:rFonts w:cstheme="minorHAnsi"/>
        </w:rPr>
        <w:t>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14411A">
        <w:rPr>
          <w:rFonts w:cstheme="minorHAnsi"/>
        </w:rPr>
        <w:t>Kibble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Attendance: </w:t>
      </w:r>
      <w:r w:rsidR="009D68DA">
        <w:rPr>
          <w:rFonts w:cstheme="minorHAnsi"/>
        </w:rPr>
        <w:t>Student reps</w:t>
      </w:r>
      <w:r w:rsidR="001C54FF">
        <w:rPr>
          <w:rFonts w:cstheme="minorHAnsi"/>
        </w:rPr>
        <w:t xml:space="preserve"> (Haley Dodson &amp; Jason</w:t>
      </w:r>
      <w:r w:rsidR="00734F59">
        <w:rPr>
          <w:rFonts w:cstheme="minorHAnsi"/>
        </w:rPr>
        <w:t xml:space="preserve"> Day</w:t>
      </w:r>
      <w:r w:rsidR="001C54FF">
        <w:rPr>
          <w:rFonts w:cstheme="minorHAnsi"/>
        </w:rPr>
        <w:t>)</w:t>
      </w:r>
      <w:r w:rsidR="009D68DA">
        <w:rPr>
          <w:rFonts w:cstheme="minorHAnsi"/>
        </w:rPr>
        <w:t>, Phil Bellew, Bee Nash, Dr. Berman, Theresa Whitehead, Dr. Kay, Dr. Topping, Dr. Bellew (C), Dr. Peppler, Dr. Monroe</w:t>
      </w:r>
      <w:r w:rsidR="00B16C22">
        <w:rPr>
          <w:rFonts w:cstheme="minorHAnsi"/>
        </w:rPr>
        <w:t>, Dr. Selim</w:t>
      </w:r>
      <w:r w:rsidR="009D68DA">
        <w:rPr>
          <w:rFonts w:cstheme="minorHAnsi"/>
        </w:rPr>
        <w:t xml:space="preserve">, Dr. Gros, Andrea Berry, </w:t>
      </w:r>
      <w:r w:rsidR="00917C46">
        <w:rPr>
          <w:rFonts w:cstheme="minorHAnsi"/>
        </w:rPr>
        <w:t xml:space="preserve">Angela Griffin, </w:t>
      </w:r>
      <w:r w:rsidR="00862976">
        <w:rPr>
          <w:rFonts w:cstheme="minorHAnsi"/>
        </w:rPr>
        <w:t>Elizabeth Wellings, Dr. Simms-Cendan, Melissa Cowan, Christie Hasegawa, Allison Carli, Dr. Gorman, Dr. Lambert, Nadine Dexter, Dale Vo</w:t>
      </w:r>
      <w:r w:rsidR="001B65F0">
        <w:rPr>
          <w:rFonts w:cstheme="minorHAnsi"/>
        </w:rPr>
        <w:t>o</w:t>
      </w:r>
      <w:r w:rsidR="00862976">
        <w:rPr>
          <w:rFonts w:cstheme="minorHAnsi"/>
        </w:rPr>
        <w:t>rhees, Dr. Beg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9600"/>
        <w:gridCol w:w="1680"/>
      </w:tblGrid>
      <w:tr w:rsidR="00430F3C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430F3C" w:rsidTr="009B785E">
        <w:tc>
          <w:tcPr>
            <w:tcW w:w="167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Approval of minutes</w:t>
            </w:r>
          </w:p>
        </w:tc>
        <w:tc>
          <w:tcPr>
            <w:tcW w:w="960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1680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EC10D3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AB537C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AB537C" w:rsidRDefault="00234AD2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AB537C" w:rsidRDefault="004F6AB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Dr. Lambert new chair of CFMG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AB537C" w:rsidRDefault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30F3C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234AD2">
            <w:pPr>
              <w:spacing w:after="0" w:line="264" w:lineRule="auto"/>
            </w:pPr>
            <w:r>
              <w:t>Student reports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CD5ABE" w:rsidRDefault="004F6AB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C1 is starting up</w:t>
            </w:r>
          </w:p>
          <w:p w:rsidR="004F6AB3" w:rsidRDefault="004F6AB3" w:rsidP="00554DD1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S-6 is going well and adapting to student feedback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430F3C" w:rsidRDefault="00430F3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CE0E17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CE0E17" w:rsidRDefault="004F6AB3" w:rsidP="00CE0E17">
            <w:pPr>
              <w:spacing w:after="0" w:line="264" w:lineRule="auto"/>
            </w:pPr>
            <w:r>
              <w:t>Vertical integration feedback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10430A" w:rsidRDefault="004F6AB3" w:rsidP="0010430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Desire to see more suturing practice</w:t>
            </w:r>
          </w:p>
          <w:p w:rsidR="004F6AB3" w:rsidRDefault="004F6AB3" w:rsidP="004F6AB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Concern about students doing/learning it far in advance of routine use</w:t>
            </w:r>
          </w:p>
          <w:p w:rsidR="004F6AB3" w:rsidRDefault="004F6AB3" w:rsidP="004F6AB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Physical exams, forgetting details, applying clinical reasoning in clerkships</w:t>
            </w:r>
          </w:p>
          <w:p w:rsidR="004F6AB3" w:rsidRDefault="00A951AB" w:rsidP="004F6AB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What level of note taking experience is expected in</w:t>
            </w:r>
            <w:r w:rsidR="004F6AB3">
              <w:t xml:space="preserve"> M1/M2</w:t>
            </w:r>
            <w:r>
              <w:t xml:space="preserve"> versus continued M3 training (H&amp;P, progress notes, discharge notes, new patient etc)</w:t>
            </w:r>
          </w:p>
          <w:p w:rsidR="004F6AB3" w:rsidRDefault="004F6AB3" w:rsidP="004F6AB3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EHR writing vs traditional notes</w:t>
            </w:r>
          </w:p>
          <w:p w:rsidR="004F6AB3" w:rsidRDefault="004F6AB3" w:rsidP="004F6AB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Potential trial run for M2 students</w:t>
            </w:r>
            <w:r w:rsidR="00A951AB">
              <w:t>, purpose is not to train in a given EHR but to address clinical reasoning skills in this type of ecosystem</w:t>
            </w:r>
          </w:p>
          <w:p w:rsidR="004F6AB3" w:rsidRDefault="009D68DA" w:rsidP="00A37089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Depth of training &amp; expectations</w:t>
            </w:r>
            <w:r w:rsidR="00A951AB">
              <w:t xml:space="preserve"> need to be defined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CE0E17" w:rsidRDefault="00CE0E17">
            <w:pPr>
              <w:numPr>
                <w:ilvl w:val="0"/>
                <w:numId w:val="1"/>
              </w:numPr>
              <w:spacing w:after="0"/>
            </w:pPr>
          </w:p>
        </w:tc>
      </w:tr>
      <w:tr w:rsidR="00430F3C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430F3C" w:rsidRDefault="009D68DA" w:rsidP="002D5EEF">
            <w:pPr>
              <w:spacing w:after="0" w:line="264" w:lineRule="auto"/>
            </w:pPr>
            <w:r>
              <w:t>M1/M2 iBook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446037" w:rsidRDefault="00EF46AB" w:rsidP="00370CC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Need for </w:t>
            </w:r>
            <w:r w:rsidR="00A951AB">
              <w:t xml:space="preserve">integrated </w:t>
            </w:r>
            <w:r>
              <w:t>organ system format</w:t>
            </w:r>
            <w:r w:rsidR="0057646A">
              <w:t xml:space="preserve"> that covers at the M2 level</w:t>
            </w:r>
          </w:p>
          <w:p w:rsidR="00A37089" w:rsidRDefault="00A37089" w:rsidP="00A3708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Demonstration of iBook, process of creation, and</w:t>
            </w:r>
            <w:r w:rsidR="00057244">
              <w:t xml:space="preserve"> use</w:t>
            </w:r>
          </w:p>
          <w:p w:rsidR="004753CC" w:rsidRDefault="00A951AB" w:rsidP="00063B5A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 </w:t>
            </w:r>
            <w:r w:rsidR="004753CC">
              <w:t>4</w:t>
            </w:r>
            <w:r w:rsidR="004753CC" w:rsidRPr="004753CC">
              <w:rPr>
                <w:vertAlign w:val="superscript"/>
              </w:rPr>
              <w:t>th</w:t>
            </w:r>
            <w:r w:rsidR="00063B5A">
              <w:t xml:space="preserve"> year elective </w:t>
            </w:r>
            <w:r>
              <w:t xml:space="preserve">is available to recruit M4 authors </w:t>
            </w:r>
            <w:r w:rsidR="00063B5A">
              <w:t>to write similarly for</w:t>
            </w:r>
            <w:r w:rsidR="004753CC">
              <w:t xml:space="preserve"> other modules</w:t>
            </w:r>
          </w:p>
          <w:p w:rsidR="00A951AB" w:rsidRDefault="00A951AB" w:rsidP="00A951A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Melissa Cowan is the contact person in Ed Tech to organize the project in iBook author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EF2551" w:rsidRDefault="00EF2551">
            <w:pPr>
              <w:numPr>
                <w:ilvl w:val="0"/>
                <w:numId w:val="1"/>
              </w:numPr>
              <w:spacing w:after="0"/>
            </w:pPr>
          </w:p>
        </w:tc>
      </w:tr>
      <w:tr w:rsidR="00E52849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E52849" w:rsidRDefault="00BA0CD2">
            <w:pPr>
              <w:spacing w:after="0" w:line="264" w:lineRule="auto"/>
            </w:pPr>
            <w:r>
              <w:lastRenderedPageBreak/>
              <w:t>C-1 Updates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10546D" w:rsidRDefault="005E3514" w:rsidP="0010546D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Reflective writing </w:t>
            </w:r>
            <w:r w:rsidR="00F31398">
              <w:t>component</w:t>
            </w:r>
          </w:p>
          <w:p w:rsidR="005E3514" w:rsidRDefault="00C87F1F" w:rsidP="005E351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Arose as a theme from inquiries around the country</w:t>
            </w:r>
          </w:p>
          <w:p w:rsidR="00C87F1F" w:rsidRDefault="00C87F1F" w:rsidP="005E351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Reflection: conscious weighing and integrating of view from different perspectives</w:t>
            </w:r>
          </w:p>
          <w:p w:rsidR="00C87F1F" w:rsidRDefault="002575B3" w:rsidP="005E3514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Act of writing increases “reflective capacity” via practice.  Topics selected for C-1:</w:t>
            </w:r>
          </w:p>
          <w:p w:rsidR="002575B3" w:rsidRDefault="002575B3" w:rsidP="002575B3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Medical ethics, social determinants of healthcare, complementary/integrative/alternative medicine, human sexuality</w:t>
            </w:r>
          </w:p>
          <w:p w:rsidR="002575B3" w:rsidRDefault="00537192" w:rsidP="002575B3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Method of submitting similar to HB-2</w:t>
            </w:r>
            <w:r w:rsidR="00291F31">
              <w:t xml:space="preserve">, collaboration </w:t>
            </w:r>
            <w:r w:rsidR="00291F31">
              <w:sym w:font="Wingdings" w:char="F0E0"/>
            </w:r>
            <w:r w:rsidR="00291F31">
              <w:t xml:space="preserve"> submission into LiveText</w:t>
            </w:r>
          </w:p>
          <w:p w:rsidR="00B67EBF" w:rsidRDefault="00A46F6F" w:rsidP="00B67EBF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Demonstration of process students will use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490772" w:rsidRDefault="00490772">
            <w:pPr>
              <w:numPr>
                <w:ilvl w:val="0"/>
                <w:numId w:val="1"/>
              </w:numPr>
              <w:spacing w:after="0"/>
            </w:pPr>
          </w:p>
        </w:tc>
      </w:tr>
      <w:tr w:rsidR="00234AD2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234AD2" w:rsidRDefault="00B67EBF" w:rsidP="00A951AB">
            <w:pPr>
              <w:spacing w:after="0" w:line="264" w:lineRule="auto"/>
            </w:pPr>
            <w:r>
              <w:t xml:space="preserve">Course proposal: </w:t>
            </w:r>
            <w:r w:rsidR="00A951AB">
              <w:t>M</w:t>
            </w:r>
            <w:r>
              <w:t xml:space="preserve">edical </w:t>
            </w:r>
            <w:r w:rsidR="00A951AB">
              <w:t>E</w:t>
            </w:r>
            <w:r>
              <w:t xml:space="preserve">xternship in </w:t>
            </w:r>
            <w:r w:rsidR="00A951AB">
              <w:t>R</w:t>
            </w:r>
            <w:r>
              <w:t>esearch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234AD2" w:rsidRDefault="00A951AB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 xml:space="preserve">Allows </w:t>
            </w:r>
            <w:r w:rsidR="00B67EBF">
              <w:t xml:space="preserve">students </w:t>
            </w:r>
            <w:r>
              <w:t xml:space="preserve">to stay </w:t>
            </w:r>
            <w:r w:rsidR="00B67EBF">
              <w:t xml:space="preserve">enrolled while working </w:t>
            </w:r>
            <w:r>
              <w:t xml:space="preserve">on </w:t>
            </w:r>
            <w:r w:rsidR="00B67EBF">
              <w:t>external research opportunities</w:t>
            </w:r>
            <w:r>
              <w:t>, providing access to financial aid services</w:t>
            </w:r>
          </w:p>
          <w:p w:rsidR="00CA1673" w:rsidRDefault="00FB6C25" w:rsidP="0060785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Details variable by student activity, flexible from M1 to M4 students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234AD2" w:rsidRDefault="008A3CB7">
            <w:pPr>
              <w:numPr>
                <w:ilvl w:val="0"/>
                <w:numId w:val="1"/>
              </w:numPr>
              <w:spacing w:after="0"/>
            </w:pPr>
            <w:r>
              <w:t>Approved</w:t>
            </w:r>
          </w:p>
        </w:tc>
      </w:tr>
      <w:tr w:rsidR="00B67EBF" w:rsidTr="009B785E">
        <w:tc>
          <w:tcPr>
            <w:tcW w:w="1670" w:type="dxa"/>
            <w:shd w:val="clear" w:color="auto" w:fill="auto"/>
            <w:tcMar>
              <w:left w:w="93" w:type="dxa"/>
            </w:tcMar>
          </w:tcPr>
          <w:p w:rsidR="00B67EBF" w:rsidRDefault="00C72A2C">
            <w:pPr>
              <w:spacing w:after="0" w:line="264" w:lineRule="auto"/>
            </w:pPr>
            <w:r>
              <w:t>New grade and professional algorithms</w:t>
            </w:r>
          </w:p>
        </w:tc>
        <w:tc>
          <w:tcPr>
            <w:tcW w:w="9600" w:type="dxa"/>
            <w:shd w:val="clear" w:color="auto" w:fill="auto"/>
            <w:tcMar>
              <w:left w:w="93" w:type="dxa"/>
            </w:tcMar>
          </w:tcPr>
          <w:p w:rsidR="00B67EBF" w:rsidRDefault="00724AEF" w:rsidP="00234AD2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Grade algorithm</w:t>
            </w:r>
          </w:p>
          <w:p w:rsidR="009F16EC" w:rsidRDefault="000C1038" w:rsidP="000C103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SEPC algorithm tested against previous cases:</w:t>
            </w:r>
          </w:p>
          <w:p w:rsidR="000C1038" w:rsidRDefault="00A951AB" w:rsidP="000C1038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O</w:t>
            </w:r>
            <w:r w:rsidR="000C1038">
              <w:t xml:space="preserve">utcomes are </w:t>
            </w:r>
            <w:r>
              <w:t>the</w:t>
            </w:r>
            <w:r w:rsidR="000C1038">
              <w:t xml:space="preserve"> same</w:t>
            </w:r>
            <w:r w:rsidR="00353DDC">
              <w:t xml:space="preserve"> or similar</w:t>
            </w:r>
            <w:r>
              <w:t xml:space="preserve"> to decision history</w:t>
            </w:r>
            <w:r w:rsidR="00353DDC">
              <w:t>, exception being C’s as a passing score</w:t>
            </w:r>
            <w:r>
              <w:t xml:space="preserve"> mean that more students will progress without impeding progress but may increase risk of Step 1 failures</w:t>
            </w:r>
          </w:p>
          <w:p w:rsidR="00353DDC" w:rsidRDefault="00724AEF" w:rsidP="00724AE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Implications of C grades and advising students</w:t>
            </w:r>
          </w:p>
          <w:p w:rsidR="00AC7867" w:rsidRDefault="00AC7867" w:rsidP="00724AE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Professionalism algorithms</w:t>
            </w:r>
          </w:p>
          <w:p w:rsidR="00AC7867" w:rsidRDefault="005E418A" w:rsidP="00AC7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Breakdown of process of professionalism system</w:t>
            </w:r>
          </w:p>
          <w:p w:rsidR="003A2803" w:rsidRDefault="003A2803" w:rsidP="00AC786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Checks &amp; balances in the Promobes submission system</w:t>
            </w:r>
            <w:r w:rsidR="00A951AB">
              <w:t xml:space="preserve"> – double filter of module director and assistant dean</w:t>
            </w:r>
          </w:p>
          <w:p w:rsidR="00DB6EC9" w:rsidRDefault="00851E97" w:rsidP="00DB6EC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Draft algorithm:</w:t>
            </w:r>
          </w:p>
          <w:p w:rsidR="00851E97" w:rsidRDefault="00851E97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Yellow card: reflective exercise, action plan, progress</w:t>
            </w:r>
          </w:p>
          <w:p w:rsidR="00851E97" w:rsidRDefault="00851E97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2 yellow cards: non-academic monitoring status, tailored remediation, progress</w:t>
            </w:r>
          </w:p>
          <w:p w:rsidR="00340A9F" w:rsidRDefault="00340A9F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&gt;2 yellow cards: non-adherence to action plan: Recommend probation to SEPC (amendment)</w:t>
            </w:r>
          </w:p>
          <w:p w:rsidR="00851E97" w:rsidRDefault="00851E97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&gt; </w:t>
            </w:r>
            <w:r w:rsidR="00340A9F">
              <w:t>3</w:t>
            </w:r>
            <w:r>
              <w:t xml:space="preserve"> yellow cards, non-adherence to action plan: Recommend dismissal to SEPC</w:t>
            </w:r>
          </w:p>
          <w:p w:rsidR="00851E97" w:rsidRDefault="00851E97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1 red card: Module F grade, refer to student professional conduct council, recommend dismissal</w:t>
            </w:r>
          </w:p>
          <w:p w:rsidR="002471FB" w:rsidRDefault="002471FB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Discussion of when probationary status is used per the standard algorithm</w:t>
            </w:r>
          </w:p>
          <w:p w:rsidR="00E46F17" w:rsidRDefault="00E63D09" w:rsidP="00851E97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 xml:space="preserve">Students </w:t>
            </w:r>
            <w:r w:rsidR="00BC4DB5">
              <w:t>want to make sure standards are clear up front</w:t>
            </w:r>
            <w:r w:rsidR="00932F66">
              <w:t xml:space="preserve"> and applied consistently</w:t>
            </w:r>
            <w:r w:rsidR="00E82C63">
              <w:t>, which offenses merit a yellow card &amp; red card</w:t>
            </w:r>
          </w:p>
          <w:p w:rsidR="00F76E1A" w:rsidRDefault="00A951AB" w:rsidP="00A951A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</w:t>
            </w:r>
            <w:r w:rsidR="00F76E1A">
              <w:t xml:space="preserve">rocess includes notifying the student of impending action, disclosure of relevant evidence, </w:t>
            </w:r>
            <w:r>
              <w:t xml:space="preserve">opportunity to represent case at SEPC </w:t>
            </w:r>
          </w:p>
        </w:tc>
        <w:tc>
          <w:tcPr>
            <w:tcW w:w="1680" w:type="dxa"/>
            <w:shd w:val="clear" w:color="auto" w:fill="auto"/>
            <w:tcMar>
              <w:left w:w="93" w:type="dxa"/>
            </w:tcMar>
          </w:tcPr>
          <w:p w:rsidR="00B67EBF" w:rsidRDefault="00340A9F">
            <w:pPr>
              <w:numPr>
                <w:ilvl w:val="0"/>
                <w:numId w:val="1"/>
              </w:numPr>
              <w:spacing w:after="0"/>
            </w:pPr>
            <w:r>
              <w:lastRenderedPageBreak/>
              <w:t>Amendment approved</w:t>
            </w:r>
          </w:p>
          <w:p w:rsidR="00340A9F" w:rsidRDefault="00A919D8" w:rsidP="00A919D8">
            <w:pPr>
              <w:numPr>
                <w:ilvl w:val="0"/>
                <w:numId w:val="1"/>
              </w:numPr>
              <w:spacing w:after="0"/>
            </w:pPr>
            <w:r>
              <w:t>Algorithm in principle, subject to further definition of thresholds for yellow &amp; red cards:</w:t>
            </w:r>
            <w:r w:rsidR="001C2CC3">
              <w:t xml:space="preserve"> approved</w:t>
            </w:r>
            <w:r>
              <w:t xml:space="preserve"> </w:t>
            </w: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B75E2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1757B"/>
    <w:rsid w:val="00021F77"/>
    <w:rsid w:val="000446EE"/>
    <w:rsid w:val="000510C9"/>
    <w:rsid w:val="00057244"/>
    <w:rsid w:val="00063B5A"/>
    <w:rsid w:val="00075B05"/>
    <w:rsid w:val="000821D0"/>
    <w:rsid w:val="00082EE6"/>
    <w:rsid w:val="000A0D92"/>
    <w:rsid w:val="000A2576"/>
    <w:rsid w:val="000B2DBE"/>
    <w:rsid w:val="000B6858"/>
    <w:rsid w:val="000C1038"/>
    <w:rsid w:val="000C280F"/>
    <w:rsid w:val="000D0405"/>
    <w:rsid w:val="000D094D"/>
    <w:rsid w:val="000E59A0"/>
    <w:rsid w:val="000F097D"/>
    <w:rsid w:val="000F1D91"/>
    <w:rsid w:val="001004DE"/>
    <w:rsid w:val="0010430A"/>
    <w:rsid w:val="0010546D"/>
    <w:rsid w:val="00105478"/>
    <w:rsid w:val="001129D8"/>
    <w:rsid w:val="00126B7B"/>
    <w:rsid w:val="00131DF5"/>
    <w:rsid w:val="0014411A"/>
    <w:rsid w:val="00154753"/>
    <w:rsid w:val="00172016"/>
    <w:rsid w:val="00185425"/>
    <w:rsid w:val="00193F75"/>
    <w:rsid w:val="001A0A07"/>
    <w:rsid w:val="001A2449"/>
    <w:rsid w:val="001B3479"/>
    <w:rsid w:val="001B5915"/>
    <w:rsid w:val="001B65F0"/>
    <w:rsid w:val="001C2CC3"/>
    <w:rsid w:val="001C54FF"/>
    <w:rsid w:val="001D4469"/>
    <w:rsid w:val="001D69BF"/>
    <w:rsid w:val="001E26BA"/>
    <w:rsid w:val="001E647C"/>
    <w:rsid w:val="002130C3"/>
    <w:rsid w:val="00216937"/>
    <w:rsid w:val="00234AD2"/>
    <w:rsid w:val="002471FB"/>
    <w:rsid w:val="00253A70"/>
    <w:rsid w:val="002575B3"/>
    <w:rsid w:val="00260483"/>
    <w:rsid w:val="00291F31"/>
    <w:rsid w:val="002B0B3C"/>
    <w:rsid w:val="002B2F08"/>
    <w:rsid w:val="002C0499"/>
    <w:rsid w:val="002C344C"/>
    <w:rsid w:val="002D2C97"/>
    <w:rsid w:val="002D5EEF"/>
    <w:rsid w:val="002E6330"/>
    <w:rsid w:val="002F4BC1"/>
    <w:rsid w:val="002F4ECF"/>
    <w:rsid w:val="003202F4"/>
    <w:rsid w:val="0033493C"/>
    <w:rsid w:val="00340A9F"/>
    <w:rsid w:val="0034124E"/>
    <w:rsid w:val="00344FD6"/>
    <w:rsid w:val="00353DDC"/>
    <w:rsid w:val="00370CCD"/>
    <w:rsid w:val="003A2803"/>
    <w:rsid w:val="003D3BF4"/>
    <w:rsid w:val="003D6C2C"/>
    <w:rsid w:val="003E4A51"/>
    <w:rsid w:val="003F3C29"/>
    <w:rsid w:val="00417CE8"/>
    <w:rsid w:val="00430F3C"/>
    <w:rsid w:val="00446037"/>
    <w:rsid w:val="00446A90"/>
    <w:rsid w:val="004732A0"/>
    <w:rsid w:val="004753CC"/>
    <w:rsid w:val="00490772"/>
    <w:rsid w:val="004A12B4"/>
    <w:rsid w:val="004A1C30"/>
    <w:rsid w:val="004A2639"/>
    <w:rsid w:val="004E33A6"/>
    <w:rsid w:val="004F6AB3"/>
    <w:rsid w:val="00501C9B"/>
    <w:rsid w:val="00507A00"/>
    <w:rsid w:val="0052397A"/>
    <w:rsid w:val="00527FF3"/>
    <w:rsid w:val="00537192"/>
    <w:rsid w:val="00554DD1"/>
    <w:rsid w:val="00567F1B"/>
    <w:rsid w:val="00576378"/>
    <w:rsid w:val="0057646A"/>
    <w:rsid w:val="00587122"/>
    <w:rsid w:val="005970FC"/>
    <w:rsid w:val="00597672"/>
    <w:rsid w:val="005B7993"/>
    <w:rsid w:val="005C1992"/>
    <w:rsid w:val="005D2933"/>
    <w:rsid w:val="005E3514"/>
    <w:rsid w:val="005E418A"/>
    <w:rsid w:val="00607855"/>
    <w:rsid w:val="00617BB9"/>
    <w:rsid w:val="006272F5"/>
    <w:rsid w:val="006312DF"/>
    <w:rsid w:val="0066060E"/>
    <w:rsid w:val="006671A9"/>
    <w:rsid w:val="006B4AFF"/>
    <w:rsid w:val="006C3CBD"/>
    <w:rsid w:val="006D51AF"/>
    <w:rsid w:val="006D6AC3"/>
    <w:rsid w:val="006F5DBA"/>
    <w:rsid w:val="0072073F"/>
    <w:rsid w:val="00724AEF"/>
    <w:rsid w:val="00725D3D"/>
    <w:rsid w:val="00734F59"/>
    <w:rsid w:val="007535B5"/>
    <w:rsid w:val="00764886"/>
    <w:rsid w:val="0076759B"/>
    <w:rsid w:val="00780930"/>
    <w:rsid w:val="00780940"/>
    <w:rsid w:val="007908FA"/>
    <w:rsid w:val="007A38B7"/>
    <w:rsid w:val="007A713B"/>
    <w:rsid w:val="007F5ED0"/>
    <w:rsid w:val="00851E97"/>
    <w:rsid w:val="0085545E"/>
    <w:rsid w:val="0086162F"/>
    <w:rsid w:val="00862976"/>
    <w:rsid w:val="008679B5"/>
    <w:rsid w:val="00890BAE"/>
    <w:rsid w:val="00894DEF"/>
    <w:rsid w:val="008A3CB7"/>
    <w:rsid w:val="008C52FC"/>
    <w:rsid w:val="009042DD"/>
    <w:rsid w:val="00911453"/>
    <w:rsid w:val="00914DC9"/>
    <w:rsid w:val="00917C46"/>
    <w:rsid w:val="0092175F"/>
    <w:rsid w:val="00921C3B"/>
    <w:rsid w:val="00932F66"/>
    <w:rsid w:val="0094219B"/>
    <w:rsid w:val="00951BA8"/>
    <w:rsid w:val="00967801"/>
    <w:rsid w:val="009826B2"/>
    <w:rsid w:val="00997035"/>
    <w:rsid w:val="009B7241"/>
    <w:rsid w:val="009B785E"/>
    <w:rsid w:val="009C300C"/>
    <w:rsid w:val="009D68DA"/>
    <w:rsid w:val="009E0804"/>
    <w:rsid w:val="009F16EC"/>
    <w:rsid w:val="00A07DC1"/>
    <w:rsid w:val="00A14BD3"/>
    <w:rsid w:val="00A37089"/>
    <w:rsid w:val="00A44BF3"/>
    <w:rsid w:val="00A46F6F"/>
    <w:rsid w:val="00A6401E"/>
    <w:rsid w:val="00A6406E"/>
    <w:rsid w:val="00A70FB1"/>
    <w:rsid w:val="00A919D8"/>
    <w:rsid w:val="00A951AB"/>
    <w:rsid w:val="00AB537C"/>
    <w:rsid w:val="00AB6D3F"/>
    <w:rsid w:val="00AC7867"/>
    <w:rsid w:val="00AF4FAD"/>
    <w:rsid w:val="00AF5A6E"/>
    <w:rsid w:val="00AF7B96"/>
    <w:rsid w:val="00B16C22"/>
    <w:rsid w:val="00B23596"/>
    <w:rsid w:val="00B6682F"/>
    <w:rsid w:val="00B67247"/>
    <w:rsid w:val="00B67EBF"/>
    <w:rsid w:val="00BA0CD2"/>
    <w:rsid w:val="00BA1926"/>
    <w:rsid w:val="00BA209B"/>
    <w:rsid w:val="00BC4DB5"/>
    <w:rsid w:val="00BF6BCE"/>
    <w:rsid w:val="00BF7AC2"/>
    <w:rsid w:val="00C72A2C"/>
    <w:rsid w:val="00C845F0"/>
    <w:rsid w:val="00C87F1F"/>
    <w:rsid w:val="00CA1673"/>
    <w:rsid w:val="00CB22F4"/>
    <w:rsid w:val="00CB6399"/>
    <w:rsid w:val="00CC44F1"/>
    <w:rsid w:val="00CC6BC0"/>
    <w:rsid w:val="00CD5ABE"/>
    <w:rsid w:val="00CE0E17"/>
    <w:rsid w:val="00D02C26"/>
    <w:rsid w:val="00D17ECA"/>
    <w:rsid w:val="00D32A9D"/>
    <w:rsid w:val="00D33008"/>
    <w:rsid w:val="00D3751F"/>
    <w:rsid w:val="00D44CE2"/>
    <w:rsid w:val="00D73E7C"/>
    <w:rsid w:val="00D77A28"/>
    <w:rsid w:val="00D80F1A"/>
    <w:rsid w:val="00D80FBC"/>
    <w:rsid w:val="00D83CBC"/>
    <w:rsid w:val="00DA2828"/>
    <w:rsid w:val="00DA4E84"/>
    <w:rsid w:val="00DB6EC9"/>
    <w:rsid w:val="00E01ABC"/>
    <w:rsid w:val="00E30756"/>
    <w:rsid w:val="00E41650"/>
    <w:rsid w:val="00E46F17"/>
    <w:rsid w:val="00E52849"/>
    <w:rsid w:val="00E606C7"/>
    <w:rsid w:val="00E63D09"/>
    <w:rsid w:val="00E77400"/>
    <w:rsid w:val="00E82C63"/>
    <w:rsid w:val="00E8374C"/>
    <w:rsid w:val="00EC10D3"/>
    <w:rsid w:val="00EC2CEF"/>
    <w:rsid w:val="00EF2551"/>
    <w:rsid w:val="00EF32EB"/>
    <w:rsid w:val="00EF46AB"/>
    <w:rsid w:val="00F115C5"/>
    <w:rsid w:val="00F13730"/>
    <w:rsid w:val="00F24450"/>
    <w:rsid w:val="00F31398"/>
    <w:rsid w:val="00F33961"/>
    <w:rsid w:val="00F46375"/>
    <w:rsid w:val="00F47D34"/>
    <w:rsid w:val="00F5612B"/>
    <w:rsid w:val="00F71FEE"/>
    <w:rsid w:val="00F76E1A"/>
    <w:rsid w:val="00F84391"/>
    <w:rsid w:val="00F86602"/>
    <w:rsid w:val="00F931D5"/>
    <w:rsid w:val="00FA5A61"/>
    <w:rsid w:val="00FB6C25"/>
    <w:rsid w:val="00FE136F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0B5C-3EA1-4032-A3C5-09F98C56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Gladielise Borges</cp:lastModifiedBy>
  <cp:revision>2</cp:revision>
  <dcterms:created xsi:type="dcterms:W3CDTF">2017-05-03T15:03:00Z</dcterms:created>
  <dcterms:modified xsi:type="dcterms:W3CDTF">2017-05-03T15:03:00Z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