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234AD2">
        <w:rPr>
          <w:rFonts w:cstheme="minorHAnsi"/>
        </w:rPr>
        <w:t>2/10/2017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9826B2">
        <w:rPr>
          <w:rFonts w:cstheme="minorHAnsi"/>
        </w:rPr>
        <w:t>3:05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10546D">
        <w:rPr>
          <w:rFonts w:cstheme="minorHAnsi"/>
        </w:rPr>
        <w:t>4:50</w:t>
      </w:r>
      <w:r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Attendance: </w:t>
      </w:r>
      <w:r w:rsidR="00BF6BCE">
        <w:rPr>
          <w:rFonts w:cstheme="minorHAnsi"/>
        </w:rPr>
        <w:t>Student rep (Haley</w:t>
      </w:r>
      <w:r w:rsidR="000A2576">
        <w:rPr>
          <w:rFonts w:cstheme="minorHAnsi"/>
        </w:rPr>
        <w:t xml:space="preserve"> Dodson</w:t>
      </w:r>
      <w:r w:rsidR="00BF6BCE">
        <w:rPr>
          <w:rFonts w:cstheme="minorHAnsi"/>
        </w:rPr>
        <w:t>)</w:t>
      </w:r>
      <w:r w:rsidR="00D02C26">
        <w:rPr>
          <w:rFonts w:cstheme="minorHAnsi"/>
        </w:rPr>
        <w:t>, Dr. Kibble,</w:t>
      </w:r>
      <w:r w:rsidR="005970FC">
        <w:rPr>
          <w:rFonts w:cstheme="minorHAnsi"/>
        </w:rPr>
        <w:t xml:space="preserve"> </w:t>
      </w:r>
      <w:r w:rsidR="00A70FB1">
        <w:rPr>
          <w:rFonts w:cstheme="minorHAnsi"/>
        </w:rPr>
        <w:t>Phil Bellew</w:t>
      </w:r>
      <w:r w:rsidR="00F5612B">
        <w:rPr>
          <w:rFonts w:cstheme="minorHAnsi"/>
        </w:rPr>
        <w:t>, Dr. Balkwill, Dr. Castiglioni, Dr. Berman, Dr. Hernandez</w:t>
      </w:r>
      <w:r w:rsidR="000B6858">
        <w:rPr>
          <w:rFonts w:cstheme="minorHAnsi"/>
        </w:rPr>
        <w:t>, Dr. Selim, Dr. Gorman, Dr. Dil, Nadine Dexter</w:t>
      </w:r>
      <w:r w:rsidR="001004DE">
        <w:rPr>
          <w:rFonts w:cstheme="minorHAnsi"/>
        </w:rPr>
        <w:t>, Deedra Walton</w:t>
      </w:r>
      <w:r w:rsidR="000B6858">
        <w:rPr>
          <w:rFonts w:cstheme="minorHAnsi"/>
        </w:rPr>
        <w:t>, Andrea Berry, Dr. Bellew (C)</w:t>
      </w:r>
      <w:r w:rsidR="00BF7AC2">
        <w:rPr>
          <w:rFonts w:cstheme="minorHAnsi"/>
        </w:rPr>
        <w:t>, Dr. Harris, Dr. Beg</w:t>
      </w:r>
      <w:r w:rsidR="001129D8">
        <w:rPr>
          <w:rFonts w:cstheme="minorHAnsi"/>
        </w:rPr>
        <w:t>, Dr. Ebert</w:t>
      </w:r>
      <w:r w:rsidR="00D44CE2">
        <w:rPr>
          <w:rFonts w:cstheme="minorHAnsi"/>
        </w:rPr>
        <w:t>, Zoe Brown-Weismann, Dr. Kay</w:t>
      </w:r>
      <w:r w:rsidR="00EC10D3">
        <w:rPr>
          <w:rFonts w:cstheme="minorHAnsi"/>
        </w:rPr>
        <w:t xml:space="preserve">, </w:t>
      </w:r>
      <w:r w:rsidR="009E0804">
        <w:rPr>
          <w:rFonts w:cstheme="minorHAnsi"/>
        </w:rPr>
        <w:t>Dr. Husain</w:t>
      </w:r>
      <w:r w:rsidR="0085545E">
        <w:rPr>
          <w:rFonts w:cstheme="minorHAnsi"/>
        </w:rPr>
        <w:t>, Theresa Whitehead</w:t>
      </w:r>
      <w:r w:rsidR="002E6330">
        <w:rPr>
          <w:rFonts w:cstheme="minorHAnsi"/>
        </w:rPr>
        <w:t>, Dr. Topping</w:t>
      </w:r>
      <w:r w:rsidR="009826B2">
        <w:rPr>
          <w:rFonts w:cstheme="minorHAnsi"/>
        </w:rPr>
        <w:t>, Dr. Bellew (M)</w:t>
      </w:r>
      <w:r w:rsidR="00F46A3A">
        <w:rPr>
          <w:rFonts w:cstheme="minorHAnsi"/>
        </w:rPr>
        <w:t>, Alisha Corsi, Christie Hasegawa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9829"/>
        <w:gridCol w:w="1451"/>
      </w:tblGrid>
      <w:tr w:rsidR="00430F3C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D83CBC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9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EC10D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There is an SLM for anesthesia in S-6 already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EC10D3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AB537C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234AD2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AB537C" w:rsidRDefault="00F33961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Renaming Micro lab </w:t>
            </w:r>
            <w:r>
              <w:sym w:font="Wingdings" w:char="F0E0"/>
            </w:r>
            <w:r>
              <w:t xml:space="preserve"> “Team Learning Laboratory”</w:t>
            </w:r>
            <w:r w:rsidR="009E0804">
              <w:t xml:space="preserve"> or alternative name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Student reports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CD5ABE" w:rsidRDefault="00CD5ABE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234AD2" w:rsidP="00CE0E17">
            <w:pPr>
              <w:spacing w:after="0" w:line="264" w:lineRule="auto"/>
            </w:pPr>
            <w:r>
              <w:t>Fire conference schedule and grading needs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DA4E84" w:rsidRDefault="0010430A" w:rsidP="006272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Conference is on Feb. 23</w:t>
            </w:r>
            <w:r w:rsidRPr="0010430A">
              <w:rPr>
                <w:vertAlign w:val="superscript"/>
              </w:rPr>
              <w:t>rd</w:t>
            </w:r>
            <w:r>
              <w:t xml:space="preserve">.  </w:t>
            </w:r>
          </w:p>
          <w:p w:rsidR="0010430A" w:rsidRDefault="0010430A" w:rsidP="00485DC6">
            <w:r>
              <w:t>Speaker present on Feb. 23</w:t>
            </w:r>
            <w:r w:rsidRPr="0010430A">
              <w:rPr>
                <w:vertAlign w:val="superscript"/>
              </w:rPr>
              <w:t>rd</w:t>
            </w:r>
            <w:r>
              <w:t xml:space="preserve"> and 24</w:t>
            </w:r>
            <w:r w:rsidRPr="0010430A">
              <w:rPr>
                <w:vertAlign w:val="superscript"/>
              </w:rPr>
              <w:t>th</w:t>
            </w:r>
            <w:r w:rsidR="00485DC6">
              <w:t xml:space="preserve"> is </w:t>
            </w:r>
            <w:r w:rsidR="00485DC6">
              <w:rPr>
                <w:rFonts w:ascii="Tahoma" w:hAnsi="Tahoma" w:cs="Tahoma"/>
                <w:color w:val="000000"/>
                <w:sz w:val="20"/>
                <w:szCs w:val="20"/>
              </w:rPr>
              <w:t>Dr. Reshma Jagsi (MD/PhD), from the University of Michigan Medical Center</w:t>
            </w:r>
          </w:p>
          <w:p w:rsidR="0010430A" w:rsidRDefault="0010430A" w:rsidP="006272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evaluations of presentation and posters being done at the conference, with concurrent oral presentations</w:t>
            </w:r>
          </w:p>
          <w:p w:rsidR="0010430A" w:rsidRDefault="0010430A" w:rsidP="0010430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Reviewers are still needed for posters and presentations; contact Dr. Ebert</w:t>
            </w:r>
          </w:p>
          <w:p w:rsidR="0010430A" w:rsidRDefault="00F47D34" w:rsidP="0010430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CPD credit offered for participating physicians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CE0E17" w:rsidRDefault="00CE0E17">
            <w:pPr>
              <w:numPr>
                <w:ilvl w:val="0"/>
                <w:numId w:val="1"/>
              </w:numPr>
              <w:spacing w:after="0"/>
            </w:pPr>
          </w:p>
        </w:tc>
      </w:tr>
      <w:tr w:rsidR="00430F3C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234AD2" w:rsidP="002D5EEF">
            <w:pPr>
              <w:spacing w:after="0" w:line="264" w:lineRule="auto"/>
            </w:pPr>
            <w:r>
              <w:t>Proposal for new biomedical science master’s degree track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2B2F08" w:rsidRDefault="002C344C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Students in the program would participate in HB-1 and HB-3 along with other </w:t>
            </w:r>
            <w:r w:rsidR="00485DC6">
              <w:t xml:space="preserve">medically relevant </w:t>
            </w:r>
            <w:r>
              <w:t>courses</w:t>
            </w:r>
            <w:r w:rsidR="00485DC6">
              <w:t xml:space="preserve"> from the UCF graduate school catalogue</w:t>
            </w:r>
            <w:r>
              <w:t>.</w:t>
            </w:r>
            <w:r w:rsidR="00597672">
              <w:t xml:space="preserve">  </w:t>
            </w:r>
            <w:r w:rsidR="00485DC6">
              <w:t>There will be a s</w:t>
            </w:r>
            <w:r w:rsidR="00597672">
              <w:t xml:space="preserve">eparate Webcourses </w:t>
            </w:r>
            <w:r w:rsidR="00485DC6">
              <w:t xml:space="preserve">presentation, faculty </w:t>
            </w:r>
            <w:r w:rsidR="00597672">
              <w:t xml:space="preserve">instructor </w:t>
            </w:r>
            <w:r w:rsidR="00485DC6">
              <w:t>and GTAs; students will share lectures but may have different small groups, will take the same final examination but be graded separately from the MD students</w:t>
            </w:r>
            <w:r w:rsidR="00597672">
              <w:t>.</w:t>
            </w:r>
            <w:r w:rsidR="00BF6BCE">
              <w:t xml:space="preserve">  </w:t>
            </w:r>
          </w:p>
          <w:p w:rsidR="00446037" w:rsidRDefault="00446037" w:rsidP="00485DC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 to accept proposal</w:t>
            </w:r>
            <w:r w:rsidR="00A6401E">
              <w:t xml:space="preserve">: amended to </w:t>
            </w:r>
            <w:r w:rsidR="003202F4">
              <w:t>start</w:t>
            </w:r>
            <w:r w:rsidR="00FA5A61">
              <w:t xml:space="preserve"> with 5-6 students</w:t>
            </w:r>
            <w:r w:rsidR="00485DC6">
              <w:t xml:space="preserve"> rising to not more than </w:t>
            </w:r>
            <w:r w:rsidR="00A6401E">
              <w:t xml:space="preserve">12 </w:t>
            </w:r>
            <w:r w:rsidR="00485DC6">
              <w:t xml:space="preserve">in first two years, after which an evaluation of impacts would be required. </w:t>
            </w:r>
            <w:r>
              <w:t xml:space="preserve"> </w:t>
            </w:r>
            <w:r w:rsidR="00485DC6">
              <w:t xml:space="preserve">Proper analysis of resources needed, including staff and software licensing, as well as instructors 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F2551" w:rsidRDefault="00172016">
            <w:pPr>
              <w:numPr>
                <w:ilvl w:val="0"/>
                <w:numId w:val="1"/>
              </w:numPr>
              <w:spacing w:after="0"/>
            </w:pPr>
            <w:r>
              <w:t>2 abstain, 1 opposed, 10 in favor</w:t>
            </w:r>
          </w:p>
        </w:tc>
      </w:tr>
      <w:tr w:rsidR="00E52849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52849" w:rsidRDefault="00234AD2">
            <w:pPr>
              <w:spacing w:after="0" w:line="264" w:lineRule="auto"/>
            </w:pPr>
            <w:r>
              <w:lastRenderedPageBreak/>
              <w:t>LCME compliance with element 9.9: student advancement and appeal process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1E647C" w:rsidRDefault="006D51AF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Requires t</w:t>
            </w:r>
            <w:r w:rsidR="00567F1B">
              <w:t>imely notice of impending action, disclosure of evidence, and opportunity for student to respond</w:t>
            </w:r>
          </w:p>
          <w:p w:rsidR="00567F1B" w:rsidRDefault="00EF32EB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Standard grade algorithm available to students</w:t>
            </w:r>
            <w:r w:rsidR="00485DC6">
              <w:t>, consequences of T and F grades made explicit with standard recommendations to SEPC, which could then reduce but not increase sanctions.</w:t>
            </w:r>
          </w:p>
          <w:p w:rsidR="00CC6BC0" w:rsidRDefault="006671A9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6671A9">
              <w:rPr>
                <w:b/>
              </w:rPr>
              <w:t>Proposal</w:t>
            </w:r>
            <w:r>
              <w:t xml:space="preserve">: </w:t>
            </w:r>
            <w:r w:rsidR="00CC6BC0">
              <w:t>Motion to adopt an algorithm-based approach to compliance with 9.9 standard</w:t>
            </w:r>
            <w:r w:rsidR="001E26BA">
              <w:t>, with specifics determined at a future date</w:t>
            </w:r>
          </w:p>
          <w:p w:rsidR="00BA209B" w:rsidRDefault="007F5ED0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Need a standard for assigning T grades so it is consistent between modules</w:t>
            </w:r>
            <w:r w:rsidR="00E01ABC">
              <w:t>, with certain modules using different criterion-based structures</w:t>
            </w:r>
            <w:r>
              <w:t>.</w:t>
            </w:r>
          </w:p>
          <w:p w:rsidR="008679B5" w:rsidRDefault="008679B5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6671A9">
              <w:rPr>
                <w:b/>
              </w:rPr>
              <w:t>Proposal</w:t>
            </w:r>
            <w:r>
              <w:t>: T grades are given for observed discipline scores more than two standard errors of measurement below 70%</w:t>
            </w:r>
          </w:p>
          <w:p w:rsidR="00490772" w:rsidRDefault="000C280F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Assessing professionalism: evidence must be documented and provided to students prior to SEPC meeting.  Data must be defensible.</w:t>
            </w:r>
          </w:p>
          <w:p w:rsidR="00E30756" w:rsidRDefault="00780930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PROMOBES: </w:t>
            </w:r>
            <w:r w:rsidR="00CC44F1">
              <w:t>brief demonstration and connection to assessing professionalism</w:t>
            </w:r>
          </w:p>
          <w:p w:rsidR="003E4A51" w:rsidRDefault="003E4A51" w:rsidP="00784BF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Module director validates</w:t>
            </w:r>
            <w:r w:rsidR="00485DC6">
              <w:t xml:space="preserve"> citations including meeting with the student; </w:t>
            </w:r>
            <w:r>
              <w:t>student affairs</w:t>
            </w:r>
            <w:r w:rsidR="00485DC6">
              <w:t xml:space="preserve"> also notified for counselling; </w:t>
            </w:r>
            <w:r w:rsidR="006B4AFF">
              <w:t>SEPC is notified of validated reports</w:t>
            </w:r>
          </w:p>
          <w:p w:rsidR="006671A9" w:rsidRDefault="006671A9" w:rsidP="006671A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How to set criteria for SEPC decisions:</w:t>
            </w:r>
          </w:p>
          <w:p w:rsidR="006671A9" w:rsidRDefault="006671A9" w:rsidP="006671A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Include a module objective in all courses and assign T or F as appropriate using standard algorithm</w:t>
            </w:r>
          </w:p>
          <w:p w:rsidR="006671A9" w:rsidRDefault="006671A9" w:rsidP="006671A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Develop separate longitudinal algorithm</w:t>
            </w:r>
            <w:r w:rsidR="0086162F">
              <w:t xml:space="preserve"> M1-M4</w:t>
            </w:r>
          </w:p>
          <w:p w:rsidR="00617BB9" w:rsidRDefault="00617BB9" w:rsidP="006671A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Both?</w:t>
            </w:r>
          </w:p>
          <w:p w:rsidR="00822D21" w:rsidRDefault="00822D21" w:rsidP="006671A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Final motion to be presented in March</w:t>
            </w:r>
          </w:p>
          <w:p w:rsidR="0010546D" w:rsidRDefault="00F46375" w:rsidP="00822D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Module director</w:t>
            </w:r>
            <w:r w:rsidR="00822D21">
              <w:t>s</w:t>
            </w:r>
            <w:r>
              <w:t xml:space="preserve"> task</w:t>
            </w:r>
            <w:r w:rsidR="00822D21">
              <w:t>ed with identifying faculty evaluators and common examples where professionalism can be compromised in their specific modules.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52849" w:rsidRDefault="00154753">
            <w:pPr>
              <w:numPr>
                <w:ilvl w:val="0"/>
                <w:numId w:val="1"/>
              </w:numPr>
              <w:spacing w:after="0"/>
            </w:pPr>
            <w:r>
              <w:t>Approved</w:t>
            </w:r>
            <w:r w:rsidR="00BA209B">
              <w:t xml:space="preserve"> – Algorithm approach</w:t>
            </w:r>
          </w:p>
          <w:p w:rsidR="00490772" w:rsidRDefault="00490772">
            <w:pPr>
              <w:numPr>
                <w:ilvl w:val="0"/>
                <w:numId w:val="1"/>
              </w:numPr>
              <w:spacing w:after="0"/>
            </w:pPr>
            <w:r>
              <w:t>Approved – T grade proposal</w:t>
            </w:r>
          </w:p>
        </w:tc>
      </w:tr>
      <w:tr w:rsidR="00234AD2" w:rsidTr="00D83CBC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234AD2" w:rsidRDefault="00234AD2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9843" w:type="dxa"/>
            <w:shd w:val="clear" w:color="auto" w:fill="auto"/>
            <w:tcMar>
              <w:left w:w="93" w:type="dxa"/>
            </w:tcMar>
          </w:tcPr>
          <w:p w:rsidR="00234AD2" w:rsidRDefault="00822D21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None 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234AD2" w:rsidRDefault="00234AD2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1757B"/>
    <w:rsid w:val="00021F77"/>
    <w:rsid w:val="000446EE"/>
    <w:rsid w:val="000510C9"/>
    <w:rsid w:val="00075B05"/>
    <w:rsid w:val="000821D0"/>
    <w:rsid w:val="00082EE6"/>
    <w:rsid w:val="000A0D92"/>
    <w:rsid w:val="000A2576"/>
    <w:rsid w:val="000B2DBE"/>
    <w:rsid w:val="000B6858"/>
    <w:rsid w:val="000C280F"/>
    <w:rsid w:val="000D0405"/>
    <w:rsid w:val="000E59A0"/>
    <w:rsid w:val="000F097D"/>
    <w:rsid w:val="001004DE"/>
    <w:rsid w:val="0010430A"/>
    <w:rsid w:val="0010546D"/>
    <w:rsid w:val="00105478"/>
    <w:rsid w:val="001129D8"/>
    <w:rsid w:val="00126B7B"/>
    <w:rsid w:val="00131DF5"/>
    <w:rsid w:val="0014411A"/>
    <w:rsid w:val="00154753"/>
    <w:rsid w:val="00172016"/>
    <w:rsid w:val="00185425"/>
    <w:rsid w:val="00193F75"/>
    <w:rsid w:val="001A0A07"/>
    <w:rsid w:val="001A2449"/>
    <w:rsid w:val="001B3479"/>
    <w:rsid w:val="001B5915"/>
    <w:rsid w:val="001D4469"/>
    <w:rsid w:val="001D69BF"/>
    <w:rsid w:val="001E26BA"/>
    <w:rsid w:val="001E647C"/>
    <w:rsid w:val="002130C3"/>
    <w:rsid w:val="00216937"/>
    <w:rsid w:val="00234AD2"/>
    <w:rsid w:val="00253A70"/>
    <w:rsid w:val="00260483"/>
    <w:rsid w:val="002B0B3C"/>
    <w:rsid w:val="002B2F08"/>
    <w:rsid w:val="002C344C"/>
    <w:rsid w:val="002D2C97"/>
    <w:rsid w:val="002D5EEF"/>
    <w:rsid w:val="002E6330"/>
    <w:rsid w:val="002F4BC1"/>
    <w:rsid w:val="003202F4"/>
    <w:rsid w:val="0034124E"/>
    <w:rsid w:val="00344FD6"/>
    <w:rsid w:val="00370CCD"/>
    <w:rsid w:val="003D3BF4"/>
    <w:rsid w:val="003D6C2C"/>
    <w:rsid w:val="003E4A51"/>
    <w:rsid w:val="003F3C29"/>
    <w:rsid w:val="00417CE8"/>
    <w:rsid w:val="00430F3C"/>
    <w:rsid w:val="00446037"/>
    <w:rsid w:val="00446A90"/>
    <w:rsid w:val="004732A0"/>
    <w:rsid w:val="00485DC6"/>
    <w:rsid w:val="00490772"/>
    <w:rsid w:val="004A12B4"/>
    <w:rsid w:val="004A1C30"/>
    <w:rsid w:val="004A2639"/>
    <w:rsid w:val="004E33A6"/>
    <w:rsid w:val="00501C9B"/>
    <w:rsid w:val="00507A00"/>
    <w:rsid w:val="0052397A"/>
    <w:rsid w:val="00527FF3"/>
    <w:rsid w:val="00554DD1"/>
    <w:rsid w:val="00567F1B"/>
    <w:rsid w:val="00576378"/>
    <w:rsid w:val="00587122"/>
    <w:rsid w:val="005970FC"/>
    <w:rsid w:val="00597672"/>
    <w:rsid w:val="005B7993"/>
    <w:rsid w:val="005C1992"/>
    <w:rsid w:val="005D2933"/>
    <w:rsid w:val="00617BB9"/>
    <w:rsid w:val="006272F5"/>
    <w:rsid w:val="006312DF"/>
    <w:rsid w:val="0066060E"/>
    <w:rsid w:val="006671A9"/>
    <w:rsid w:val="006B4AFF"/>
    <w:rsid w:val="006C3CBD"/>
    <w:rsid w:val="006D51AF"/>
    <w:rsid w:val="006D6AC3"/>
    <w:rsid w:val="006F5DBA"/>
    <w:rsid w:val="0072073F"/>
    <w:rsid w:val="00725D3D"/>
    <w:rsid w:val="007535B5"/>
    <w:rsid w:val="00764886"/>
    <w:rsid w:val="0076759B"/>
    <w:rsid w:val="00780930"/>
    <w:rsid w:val="00780940"/>
    <w:rsid w:val="007908FA"/>
    <w:rsid w:val="007A38B7"/>
    <w:rsid w:val="007F5ED0"/>
    <w:rsid w:val="00822D21"/>
    <w:rsid w:val="0085545E"/>
    <w:rsid w:val="0086162F"/>
    <w:rsid w:val="008679B5"/>
    <w:rsid w:val="00890BAE"/>
    <w:rsid w:val="00894DEF"/>
    <w:rsid w:val="008C52FC"/>
    <w:rsid w:val="009042DD"/>
    <w:rsid w:val="00911453"/>
    <w:rsid w:val="00914DC9"/>
    <w:rsid w:val="0092175F"/>
    <w:rsid w:val="00921C3B"/>
    <w:rsid w:val="0094219B"/>
    <w:rsid w:val="00967801"/>
    <w:rsid w:val="009826B2"/>
    <w:rsid w:val="00997035"/>
    <w:rsid w:val="009B7241"/>
    <w:rsid w:val="009C300C"/>
    <w:rsid w:val="009E0804"/>
    <w:rsid w:val="00A14BD3"/>
    <w:rsid w:val="00A44BF3"/>
    <w:rsid w:val="00A6401E"/>
    <w:rsid w:val="00A6406E"/>
    <w:rsid w:val="00A70FB1"/>
    <w:rsid w:val="00AB537C"/>
    <w:rsid w:val="00AB6D3F"/>
    <w:rsid w:val="00AF4FAD"/>
    <w:rsid w:val="00AF5A6E"/>
    <w:rsid w:val="00AF7B96"/>
    <w:rsid w:val="00B23596"/>
    <w:rsid w:val="00B6682F"/>
    <w:rsid w:val="00B67247"/>
    <w:rsid w:val="00BA1926"/>
    <w:rsid w:val="00BA209B"/>
    <w:rsid w:val="00BF6BCE"/>
    <w:rsid w:val="00BF7AC2"/>
    <w:rsid w:val="00C333A3"/>
    <w:rsid w:val="00C845F0"/>
    <w:rsid w:val="00CB22F4"/>
    <w:rsid w:val="00CB6399"/>
    <w:rsid w:val="00CC44F1"/>
    <w:rsid w:val="00CC6BC0"/>
    <w:rsid w:val="00CD5ABE"/>
    <w:rsid w:val="00CE0E17"/>
    <w:rsid w:val="00D02C26"/>
    <w:rsid w:val="00D17ECA"/>
    <w:rsid w:val="00D32A9D"/>
    <w:rsid w:val="00D33008"/>
    <w:rsid w:val="00D3751F"/>
    <w:rsid w:val="00D44CE2"/>
    <w:rsid w:val="00D73E7C"/>
    <w:rsid w:val="00D77A28"/>
    <w:rsid w:val="00D80F1A"/>
    <w:rsid w:val="00D80FBC"/>
    <w:rsid w:val="00D83CBC"/>
    <w:rsid w:val="00DA2828"/>
    <w:rsid w:val="00DA4E84"/>
    <w:rsid w:val="00E01ABC"/>
    <w:rsid w:val="00E30756"/>
    <w:rsid w:val="00E41650"/>
    <w:rsid w:val="00E52849"/>
    <w:rsid w:val="00E606C7"/>
    <w:rsid w:val="00E77400"/>
    <w:rsid w:val="00E8374C"/>
    <w:rsid w:val="00EC10D3"/>
    <w:rsid w:val="00EC2CEF"/>
    <w:rsid w:val="00EF2551"/>
    <w:rsid w:val="00EF32EB"/>
    <w:rsid w:val="00F115C5"/>
    <w:rsid w:val="00F13730"/>
    <w:rsid w:val="00F24450"/>
    <w:rsid w:val="00F33961"/>
    <w:rsid w:val="00F46375"/>
    <w:rsid w:val="00F46A3A"/>
    <w:rsid w:val="00F47D34"/>
    <w:rsid w:val="00F5612B"/>
    <w:rsid w:val="00F71FEE"/>
    <w:rsid w:val="00F86602"/>
    <w:rsid w:val="00F931D5"/>
    <w:rsid w:val="00FA5A61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E3CA-00D0-4CA7-ADE1-2C185E02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Bellew</dc:creator>
  <cp:lastModifiedBy>Gladielise Borges</cp:lastModifiedBy>
  <cp:revision>2</cp:revision>
  <dcterms:created xsi:type="dcterms:W3CDTF">2017-05-03T15:04:00Z</dcterms:created>
  <dcterms:modified xsi:type="dcterms:W3CDTF">2017-05-03T15:04:00Z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