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University of Central Florida</w:t>
      </w:r>
    </w:p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College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of </w:t>
      </w:r>
      <w:r>
        <w:rPr>
          <w:rFonts w:asciiTheme="minorHAnsi" w:hAnsiTheme="minorHAnsi" w:cstheme="minorHAnsi"/>
          <w:b/>
          <w:bCs/>
          <w:sz w:val="32"/>
          <w:szCs w:val="32"/>
        </w:rPr>
        <w:t>Medicine</w:t>
      </w:r>
    </w:p>
    <w:p w:rsidR="00430F3C" w:rsidRDefault="004A2639">
      <w:pPr>
        <w:tabs>
          <w:tab w:val="center" w:pos="6480"/>
          <w:tab w:val="left" w:pos="9645"/>
        </w:tabs>
        <w:spacing w:after="0" w:line="264" w:lineRule="auto"/>
      </w:pPr>
      <w:r>
        <w:rPr>
          <w:rFonts w:cstheme="minorHAnsi"/>
          <w:b/>
          <w:bCs/>
          <w:sz w:val="32"/>
          <w:szCs w:val="32"/>
        </w:rPr>
        <w:tab/>
        <w:t>M1/M2 Minutes</w:t>
      </w:r>
      <w:r>
        <w:rPr>
          <w:rFonts w:cstheme="minorHAnsi"/>
          <w:b/>
          <w:bCs/>
          <w:sz w:val="32"/>
          <w:szCs w:val="32"/>
        </w:rPr>
        <w:tab/>
      </w:r>
    </w:p>
    <w:p w:rsidR="00430F3C" w:rsidRDefault="00430F3C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Meeting Date: </w:t>
      </w:r>
      <w:r w:rsidR="00AB537C">
        <w:rPr>
          <w:rFonts w:cstheme="minorHAnsi"/>
        </w:rPr>
        <w:t>1</w:t>
      </w:r>
      <w:r w:rsidR="0014411A">
        <w:rPr>
          <w:rFonts w:cstheme="minorHAnsi"/>
        </w:rPr>
        <w:t>2</w:t>
      </w:r>
      <w:r>
        <w:rPr>
          <w:rFonts w:cstheme="minorHAnsi"/>
        </w:rPr>
        <w:t>/</w:t>
      </w:r>
      <w:r w:rsidR="0014411A">
        <w:rPr>
          <w:rFonts w:cstheme="minorHAnsi"/>
        </w:rPr>
        <w:t>09</w:t>
      </w:r>
      <w:r>
        <w:rPr>
          <w:rFonts w:cstheme="minorHAnsi"/>
        </w:rPr>
        <w:t>/16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Start Time: </w:t>
      </w:r>
      <w:r w:rsidR="00E8374C">
        <w:rPr>
          <w:rFonts w:cstheme="minorHAnsi"/>
        </w:rPr>
        <w:t>3:05</w:t>
      </w:r>
      <w:r>
        <w:rPr>
          <w:rFonts w:cstheme="minorHAnsi"/>
        </w:rPr>
        <w:t>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Adjourn Time: </w:t>
      </w:r>
      <w:r w:rsidR="00075B05">
        <w:rPr>
          <w:rFonts w:cstheme="minorHAnsi"/>
        </w:rPr>
        <w:t>4:51</w:t>
      </w:r>
      <w:r>
        <w:rPr>
          <w:rFonts w:cstheme="minorHAnsi"/>
        </w:rPr>
        <w:t>p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Chair: Dr. </w:t>
      </w:r>
      <w:r w:rsidR="0014411A">
        <w:rPr>
          <w:rFonts w:cstheme="minorHAnsi"/>
        </w:rPr>
        <w:t>Kibble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Attendance: </w:t>
      </w:r>
      <w:r w:rsidR="00B47C2C">
        <w:rPr>
          <w:rFonts w:cstheme="minorHAnsi"/>
        </w:rPr>
        <w:t>Laura Herndon (M2 rep)</w:t>
      </w:r>
      <w:r w:rsidR="00D02C26">
        <w:rPr>
          <w:rFonts w:cstheme="minorHAnsi"/>
        </w:rPr>
        <w:t>, Dr. Kibble,</w:t>
      </w:r>
      <w:r w:rsidR="005970FC">
        <w:rPr>
          <w:rFonts w:cstheme="minorHAnsi"/>
        </w:rPr>
        <w:t xml:space="preserve"> </w:t>
      </w:r>
      <w:r w:rsidR="00A70FB1">
        <w:rPr>
          <w:rFonts w:cstheme="minorHAnsi"/>
        </w:rPr>
        <w:t xml:space="preserve">Phil Bellew, Dr. Bellew (M), Dr. Bellew (C), Dr. Selim, Dr. Peppler, Dr. Balkwill, Dr. Cendan, Floyd, Dr. Kay, Dr. Monroe, </w:t>
      </w:r>
      <w:r w:rsidR="005C1992">
        <w:rPr>
          <w:rFonts w:cstheme="minorHAnsi"/>
        </w:rPr>
        <w:t xml:space="preserve">Dale Vorhees, Abnel, </w:t>
      </w:r>
      <w:r w:rsidR="00C845F0">
        <w:rPr>
          <w:rFonts w:cstheme="minorHAnsi"/>
        </w:rPr>
        <w:t>Dr. Beg, Dr. Ebert, Theresa Whitehead, Nadine Dexter, Alli</w:t>
      </w:r>
      <w:r w:rsidR="00CB6399">
        <w:rPr>
          <w:rFonts w:cstheme="minorHAnsi"/>
        </w:rPr>
        <w:t>son</w:t>
      </w:r>
      <w:r w:rsidR="00C845F0">
        <w:rPr>
          <w:rFonts w:cstheme="minorHAnsi"/>
        </w:rPr>
        <w:t xml:space="preserve"> Carli, Zoe Brown-Weismann, </w:t>
      </w:r>
      <w:r w:rsidR="00FE136F">
        <w:rPr>
          <w:rFonts w:cstheme="minorHAnsi"/>
        </w:rPr>
        <w:t>Dr. Gros, Dr. Harris</w:t>
      </w:r>
      <w:r w:rsidR="0034124E">
        <w:rPr>
          <w:rFonts w:cstheme="minorHAnsi"/>
        </w:rPr>
        <w:t xml:space="preserve">, Dr. Gorman, </w:t>
      </w:r>
      <w:r w:rsidR="000D0405">
        <w:rPr>
          <w:rFonts w:cstheme="minorHAnsi"/>
        </w:rPr>
        <w:t>Dr. Castiglioni</w:t>
      </w:r>
      <w:r w:rsidR="002F4BC1">
        <w:rPr>
          <w:rFonts w:cstheme="minorHAnsi"/>
        </w:rPr>
        <w:t>, Monica Bailey</w:t>
      </w:r>
    </w:p>
    <w:p w:rsidR="00430F3C" w:rsidRDefault="00430F3C">
      <w:pPr>
        <w:spacing w:after="0" w:line="264" w:lineRule="auto"/>
        <w:rPr>
          <w:rFonts w:cstheme="minorHAnsi"/>
        </w:rPr>
      </w:pPr>
    </w:p>
    <w:tbl>
      <w:tblPr>
        <w:tblStyle w:val="TableGrid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670"/>
        <w:gridCol w:w="9320"/>
        <w:gridCol w:w="1960"/>
      </w:tblGrid>
      <w:tr w:rsidR="00430F3C" w:rsidTr="008E56E7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Agenda Item</w:t>
            </w:r>
          </w:p>
        </w:tc>
        <w:tc>
          <w:tcPr>
            <w:tcW w:w="9320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1960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Decisions</w:t>
            </w:r>
          </w:p>
        </w:tc>
      </w:tr>
      <w:tr w:rsidR="00430F3C" w:rsidTr="008E56E7">
        <w:tc>
          <w:tcPr>
            <w:tcW w:w="167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AB537C">
            <w:pPr>
              <w:spacing w:after="0" w:line="264" w:lineRule="auto"/>
            </w:pPr>
            <w:r>
              <w:t>Approval of minutes</w:t>
            </w:r>
          </w:p>
        </w:tc>
        <w:tc>
          <w:tcPr>
            <w:tcW w:w="932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430F3C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Pr="00AB537C" w:rsidRDefault="00A70FB1" w:rsidP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AB537C" w:rsidTr="008E56E7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AB537C" w:rsidRDefault="00AB537C">
            <w:pPr>
              <w:spacing w:after="0" w:line="264" w:lineRule="auto"/>
            </w:pPr>
            <w:r>
              <w:t>Student report</w:t>
            </w:r>
          </w:p>
        </w:tc>
        <w:tc>
          <w:tcPr>
            <w:tcW w:w="9320" w:type="dxa"/>
            <w:shd w:val="clear" w:color="auto" w:fill="auto"/>
            <w:tcMar>
              <w:left w:w="93" w:type="dxa"/>
            </w:tcMar>
          </w:tcPr>
          <w:p w:rsidR="00AB537C" w:rsidRDefault="00A70FB1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GI/renal is going well, exam on the 16</w:t>
            </w:r>
            <w:r w:rsidRPr="00A70FB1">
              <w:rPr>
                <w:vertAlign w:val="superscript"/>
              </w:rPr>
              <w:t>th</w:t>
            </w:r>
          </w:p>
        </w:tc>
        <w:tc>
          <w:tcPr>
            <w:tcW w:w="1960" w:type="dxa"/>
            <w:shd w:val="clear" w:color="auto" w:fill="auto"/>
            <w:tcMar>
              <w:left w:w="93" w:type="dxa"/>
            </w:tcMar>
          </w:tcPr>
          <w:p w:rsidR="00AB537C" w:rsidRDefault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430F3C" w:rsidTr="008E56E7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E77400">
            <w:pPr>
              <w:spacing w:after="0" w:line="264" w:lineRule="auto"/>
            </w:pPr>
            <w:r>
              <w:t>FLSA (fair labor standards act) information</w:t>
            </w:r>
          </w:p>
        </w:tc>
        <w:tc>
          <w:tcPr>
            <w:tcW w:w="9320" w:type="dxa"/>
            <w:shd w:val="clear" w:color="auto" w:fill="auto"/>
            <w:tcMar>
              <w:left w:w="93" w:type="dxa"/>
            </w:tcMar>
          </w:tcPr>
          <w:p w:rsidR="000821D0" w:rsidRDefault="005D2933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OT eligible, non-</w:t>
            </w:r>
            <w:r w:rsidR="000446EE">
              <w:t>salaried threshold raised to $47</w:t>
            </w:r>
            <w:r w:rsidR="00B47C2C">
              <w:t xml:space="preserve">, </w:t>
            </w:r>
            <w:r w:rsidR="000446EE">
              <w:t>400.  Employee below that threshold are now hourly, and must be paid overtime</w:t>
            </w:r>
            <w:r w:rsidR="005C1992">
              <w:t xml:space="preserve"> if working more than 40 hours</w:t>
            </w:r>
            <w:r w:rsidR="000446EE">
              <w:t>.</w:t>
            </w:r>
          </w:p>
          <w:p w:rsidR="005C1992" w:rsidRDefault="005D2933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Time can be flexed if work is done during nonstandard hours.</w:t>
            </w:r>
            <w:r w:rsidR="00216937">
              <w:t xml:space="preserve">  Limit of 4 hours per week</w:t>
            </w:r>
            <w:r w:rsidR="0072073F">
              <w:t>.  These are one-off e</w:t>
            </w:r>
            <w:r w:rsidR="00F71FEE">
              <w:t>vents, you can still plan a r</w:t>
            </w:r>
            <w:r w:rsidR="0072073F">
              <w:t>egular work schedule</w:t>
            </w:r>
            <w:r w:rsidR="00F71FEE">
              <w:t xml:space="preserve"> that isn’t 8 hours/day</w:t>
            </w:r>
            <w:r w:rsidR="0072073F">
              <w:t>.</w:t>
            </w:r>
          </w:p>
          <w:p w:rsidR="005D2933" w:rsidRDefault="005D2933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Overtime hours must be pre-approved</w:t>
            </w:r>
            <w:r w:rsidR="00B47C2C">
              <w:t xml:space="preserve"> by Dr Kibble/Peppler – please plan ahead for exams, lab/simulations etc; HR has not indicated a minimum approval time but approval must be secured prior to overtime</w:t>
            </w:r>
            <w:r>
              <w:t>.</w:t>
            </w:r>
          </w:p>
          <w:p w:rsidR="00B47C2C" w:rsidRDefault="00B47C2C" w:rsidP="00B47C2C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Compensatory leave for last minute extra work tasks is not allowed.</w:t>
            </w:r>
          </w:p>
          <w:p w:rsidR="00967801" w:rsidRDefault="00967801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Cross coverage</w:t>
            </w:r>
            <w:r w:rsidR="00B47C2C">
              <w:t xml:space="preserve"> will be needed</w:t>
            </w:r>
            <w:r>
              <w:t xml:space="preserve"> in case staff is out sick</w:t>
            </w:r>
            <w:r w:rsidR="00B47C2C">
              <w:t>; Ed Tech can support some functions such as Webcourses posting and Kuracloud cases</w:t>
            </w:r>
          </w:p>
          <w:p w:rsidR="00CD5ABE" w:rsidRDefault="00CD5ABE" w:rsidP="00B47C2C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Communicat</w:t>
            </w:r>
            <w:r w:rsidR="00B47C2C">
              <w:t xml:space="preserve">ion will be key between </w:t>
            </w:r>
            <w:r>
              <w:t>staff</w:t>
            </w:r>
            <w:r w:rsidR="00B47C2C">
              <w:t xml:space="preserve">/faculty/supervisors to ensure no loss of service </w:t>
            </w:r>
          </w:p>
        </w:tc>
        <w:tc>
          <w:tcPr>
            <w:tcW w:w="1960" w:type="dxa"/>
            <w:shd w:val="clear" w:color="auto" w:fill="auto"/>
            <w:tcMar>
              <w:left w:w="93" w:type="dxa"/>
            </w:tcMar>
          </w:tcPr>
          <w:p w:rsidR="00430F3C" w:rsidRDefault="00430F3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CE0E17" w:rsidTr="008E56E7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CE0E17" w:rsidRDefault="00E77400" w:rsidP="00CE0E17">
            <w:pPr>
              <w:spacing w:after="0" w:line="264" w:lineRule="auto"/>
            </w:pPr>
            <w:r>
              <w:t>Out of class work update</w:t>
            </w:r>
          </w:p>
        </w:tc>
        <w:tc>
          <w:tcPr>
            <w:tcW w:w="9320" w:type="dxa"/>
            <w:shd w:val="clear" w:color="auto" w:fill="auto"/>
            <w:tcMar>
              <w:left w:w="93" w:type="dxa"/>
            </w:tcMar>
          </w:tcPr>
          <w:p w:rsidR="00DA4E84" w:rsidRDefault="006272F5" w:rsidP="006272F5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Current averages are below</w:t>
            </w:r>
            <w:r w:rsidR="00BA1926">
              <w:t xml:space="preserve"> the 6hr/week average threshold (M1: 1.2/week M2: -0.6/week as of this meeting).  </w:t>
            </w:r>
          </w:p>
        </w:tc>
        <w:tc>
          <w:tcPr>
            <w:tcW w:w="1960" w:type="dxa"/>
            <w:shd w:val="clear" w:color="auto" w:fill="auto"/>
            <w:tcMar>
              <w:left w:w="93" w:type="dxa"/>
            </w:tcMar>
          </w:tcPr>
          <w:p w:rsidR="00CE0E17" w:rsidRDefault="00CE0E17">
            <w:pPr>
              <w:numPr>
                <w:ilvl w:val="0"/>
                <w:numId w:val="1"/>
              </w:numPr>
              <w:spacing w:after="0"/>
            </w:pPr>
          </w:p>
        </w:tc>
      </w:tr>
      <w:tr w:rsidR="00430F3C" w:rsidTr="008E56E7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E77400" w:rsidP="002D5EEF">
            <w:pPr>
              <w:spacing w:after="0" w:line="264" w:lineRule="auto"/>
            </w:pPr>
            <w:r>
              <w:lastRenderedPageBreak/>
              <w:t>Professionalism app</w:t>
            </w:r>
            <w:r w:rsidR="00EC2CEF">
              <w:t xml:space="preserve"> (</w:t>
            </w:r>
            <w:r w:rsidR="002D5EEF">
              <w:t>PROMOBES</w:t>
            </w:r>
            <w:r w:rsidR="00EC2CEF">
              <w:t>)</w:t>
            </w:r>
          </w:p>
        </w:tc>
        <w:tc>
          <w:tcPr>
            <w:tcW w:w="9320" w:type="dxa"/>
            <w:shd w:val="clear" w:color="auto" w:fill="auto"/>
            <w:tcMar>
              <w:left w:w="93" w:type="dxa"/>
            </w:tcMar>
          </w:tcPr>
          <w:p w:rsidR="00EF2551" w:rsidRDefault="00B47C2C" w:rsidP="00EF255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A curriculum task force defined a</w:t>
            </w:r>
            <w:r w:rsidR="006272F5">
              <w:t xml:space="preserve"> common framework to evaluate professionalism.  One of the </w:t>
            </w:r>
            <w:r>
              <w:t xml:space="preserve">desired </w:t>
            </w:r>
            <w:r w:rsidR="006272F5">
              <w:t xml:space="preserve">outcomes was to make an app </w:t>
            </w:r>
            <w:r>
              <w:t>that would facilitate timely assessment of professionalism</w:t>
            </w:r>
          </w:p>
          <w:p w:rsidR="006272F5" w:rsidRDefault="00EC2CEF" w:rsidP="00EF255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App has been developed, 18 week pilot study @ Nemours and IM residency program, intended to capture lapses/excellence in professionalism.</w:t>
            </w:r>
          </w:p>
          <w:p w:rsidR="00527FF3" w:rsidRDefault="00527FF3" w:rsidP="00EF255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Six domains of professionalism, to help create framework for capturing information about specific event</w:t>
            </w:r>
            <w:r w:rsidR="00000ECA">
              <w:t xml:space="preserve">, can graph out how each student </w:t>
            </w:r>
            <w:r w:rsidR="00B47C2C">
              <w:t>performs</w:t>
            </w:r>
            <w:r w:rsidR="00000ECA">
              <w:t xml:space="preserve"> in these over time</w:t>
            </w:r>
          </w:p>
          <w:p w:rsidR="004E33A6" w:rsidRDefault="004E33A6" w:rsidP="00EF255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Results: </w:t>
            </w:r>
            <w:r w:rsidR="006F5DBA">
              <w:t>improved comfort with reporting professionalism, high acceptance ratings, recognition of reporting procedures</w:t>
            </w:r>
          </w:p>
          <w:p w:rsidR="00BA1926" w:rsidRDefault="00BA1926" w:rsidP="00EF255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Qualitative analysis</w:t>
            </w:r>
            <w:r w:rsidR="006F5DBA">
              <w:t xml:space="preserve">: Connecting to specific/defined framework is </w:t>
            </w:r>
            <w:r w:rsidR="00B47C2C">
              <w:t>critical</w:t>
            </w:r>
            <w:r w:rsidR="006F5DBA">
              <w:t>, as is reporting it close to real time</w:t>
            </w:r>
            <w:r w:rsidR="00021F77">
              <w:t xml:space="preserve"> (including dictating on phone)</w:t>
            </w:r>
            <w:r w:rsidR="006F5DBA">
              <w:t xml:space="preserve"> with multiple observer inputs.  It also </w:t>
            </w:r>
            <w:r w:rsidR="00B47C2C">
              <w:t xml:space="preserve">seems to </w:t>
            </w:r>
            <w:r w:rsidR="006F5DBA">
              <w:t xml:space="preserve">facilitates positive feedback and </w:t>
            </w:r>
            <w:r w:rsidR="00B47C2C">
              <w:t>most use was around common events rather than critical incidents</w:t>
            </w:r>
          </w:p>
          <w:p w:rsidR="00587122" w:rsidRDefault="008E56E7" w:rsidP="00EF255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The app also offers a feature allowing open-ended</w:t>
            </w:r>
            <w:r w:rsidR="0092175F">
              <w:t xml:space="preserve"> narrative evaluation</w:t>
            </w:r>
            <w:r>
              <w:t xml:space="preserve"> for any purpose</w:t>
            </w:r>
          </w:p>
          <w:p w:rsidR="002B2F08" w:rsidRDefault="002B2F08" w:rsidP="00EF255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Minimum expectation of utilization and outcome standard</w:t>
            </w:r>
            <w:r w:rsidR="008E56E7">
              <w:t xml:space="preserve"> has not been defined</w:t>
            </w:r>
            <w:r>
              <w:t>?</w:t>
            </w:r>
          </w:p>
        </w:tc>
        <w:tc>
          <w:tcPr>
            <w:tcW w:w="1960" w:type="dxa"/>
            <w:shd w:val="clear" w:color="auto" w:fill="auto"/>
            <w:tcMar>
              <w:left w:w="93" w:type="dxa"/>
            </w:tcMar>
          </w:tcPr>
          <w:p w:rsidR="00EF2551" w:rsidRDefault="008E56E7">
            <w:pPr>
              <w:numPr>
                <w:ilvl w:val="0"/>
                <w:numId w:val="1"/>
              </w:numPr>
              <w:spacing w:after="0"/>
            </w:pPr>
            <w:r>
              <w:t>Dr Kibble will gather a group of course directors with a view to piloting Promobes for AY 2017-2018</w:t>
            </w:r>
          </w:p>
        </w:tc>
      </w:tr>
      <w:tr w:rsidR="00E52849" w:rsidTr="008E56E7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E52849" w:rsidRDefault="00E77400">
            <w:pPr>
              <w:spacing w:after="0" w:line="264" w:lineRule="auto"/>
            </w:pPr>
            <w:r>
              <w:t>Vertical integration – neurology and psychiatry</w:t>
            </w:r>
          </w:p>
        </w:tc>
        <w:tc>
          <w:tcPr>
            <w:tcW w:w="9320" w:type="dxa"/>
            <w:shd w:val="clear" w:color="auto" w:fill="auto"/>
            <w:tcMar>
              <w:left w:w="93" w:type="dxa"/>
            </w:tcMar>
          </w:tcPr>
          <w:p w:rsidR="00780940" w:rsidRDefault="009042DD" w:rsidP="0078094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Background review of curriculum</w:t>
            </w:r>
            <w:r w:rsidR="00F86602">
              <w:t xml:space="preserve"> (HB-1, HB-2, S-6, P-1/P-2 into clerkships)</w:t>
            </w:r>
          </w:p>
          <w:p w:rsidR="00082EE6" w:rsidRDefault="00A14BD3" w:rsidP="0078094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Psychiatry: </w:t>
            </w:r>
          </w:p>
          <w:p w:rsidR="008E56E7" w:rsidRDefault="008E56E7" w:rsidP="008E56E7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Outcome scores on internal exams and Step1/2 don’t demonstrate gaps in knowledge</w:t>
            </w:r>
          </w:p>
          <w:p w:rsidR="001D4469" w:rsidRDefault="00082EE6" w:rsidP="00082EE6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F</w:t>
            </w:r>
            <w:r w:rsidR="00A14BD3">
              <w:t xml:space="preserve">eedback from M3 – </w:t>
            </w:r>
            <w:r w:rsidR="008E56E7">
              <w:t>could explore</w:t>
            </w:r>
            <w:r w:rsidR="00A14BD3">
              <w:t xml:space="preserve"> </w:t>
            </w:r>
            <w:r w:rsidR="001D4469">
              <w:t xml:space="preserve">more </w:t>
            </w:r>
            <w:r w:rsidR="008E56E7">
              <w:t xml:space="preserve">opportunities for </w:t>
            </w:r>
            <w:r w:rsidR="001D4469">
              <w:t>psychiatric interviewing.</w:t>
            </w:r>
          </w:p>
          <w:p w:rsidR="009042DD" w:rsidRDefault="00A14BD3" w:rsidP="001D4469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Added P-2 sessions for </w:t>
            </w:r>
            <w:r w:rsidR="00734564">
              <w:t xml:space="preserve">this </w:t>
            </w:r>
            <w:r>
              <w:t>2-3 years ago</w:t>
            </w:r>
            <w:r w:rsidR="00734564">
              <w:t xml:space="preserve"> that have improved student preparation</w:t>
            </w:r>
            <w:r>
              <w:t xml:space="preserve">.  </w:t>
            </w:r>
          </w:p>
          <w:p w:rsidR="001D69BF" w:rsidRDefault="001D69BF" w:rsidP="001D4469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Wish list: more human development in 1</w:t>
            </w:r>
            <w:r w:rsidRPr="001D69BF">
              <w:rPr>
                <w:vertAlign w:val="superscript"/>
              </w:rPr>
              <w:t>st</w:t>
            </w:r>
            <w:r>
              <w:t xml:space="preserve"> year</w:t>
            </w:r>
            <w:r w:rsidR="00F24450">
              <w:t xml:space="preserve"> across lifecycle</w:t>
            </w:r>
            <w:r>
              <w:t>, continuum/motivational interviewing</w:t>
            </w:r>
            <w:r w:rsidR="00894DEF">
              <w:t xml:space="preserve"> (P-2 does motivational interviewing and shared decision-making</w:t>
            </w:r>
            <w:r w:rsidR="00FF2008">
              <w:t>, some coverage in IM/FM clerkship</w:t>
            </w:r>
            <w:r w:rsidR="00894DEF">
              <w:t>)</w:t>
            </w:r>
            <w:r>
              <w:t>, M4 psychotherapy elective</w:t>
            </w:r>
          </w:p>
          <w:p w:rsidR="00193F75" w:rsidRDefault="00193F75" w:rsidP="001D4469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Pain </w:t>
            </w:r>
            <w:r w:rsidR="008E56E7">
              <w:t xml:space="preserve">mechanisms and management has been strengthened </w:t>
            </w:r>
            <w:r>
              <w:t>throughout the curriculum</w:t>
            </w:r>
            <w:r w:rsidR="0094219B">
              <w:t xml:space="preserve"> </w:t>
            </w:r>
            <w:r w:rsidR="008E56E7">
              <w:t>following initiative on tackling opioid abuse.</w:t>
            </w:r>
          </w:p>
          <w:p w:rsidR="0076759B" w:rsidRDefault="000F097D" w:rsidP="00D77A28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Neurology:</w:t>
            </w:r>
            <w:r w:rsidR="00AF5A6E">
              <w:t xml:space="preserve"> Would like </w:t>
            </w:r>
            <w:r w:rsidR="008E56E7">
              <w:t xml:space="preserve">to encourage precision </w:t>
            </w:r>
            <w:r w:rsidR="00AF5A6E">
              <w:t xml:space="preserve">in </w:t>
            </w:r>
            <w:r w:rsidR="008E56E7">
              <w:t xml:space="preserve">reporting and </w:t>
            </w:r>
            <w:r w:rsidR="00AF5A6E">
              <w:t>documentation of exam</w:t>
            </w:r>
            <w:r w:rsidR="008E56E7">
              <w:t xml:space="preserve"> findings</w:t>
            </w:r>
          </w:p>
          <w:p w:rsidR="000F097D" w:rsidRDefault="00082EE6" w:rsidP="000F097D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No major content deficiency in M3</w:t>
            </w:r>
          </w:p>
          <w:p w:rsidR="00082EE6" w:rsidRDefault="008E56E7" w:rsidP="008E56E7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Orphan topics of vitamin deficiencies that result in neurological impairment and relevant toxicology are areas that could be improved. </w:t>
            </w:r>
          </w:p>
          <w:p w:rsidR="00D73E7C" w:rsidRDefault="006C3CBD" w:rsidP="000F097D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Toxicology/toxins active learning session in S-6, </w:t>
            </w:r>
            <w:r w:rsidR="00F115C5">
              <w:t>otherwise multi-organ/multidimensional</w:t>
            </w:r>
            <w:r w:rsidR="00AF7B96">
              <w:t xml:space="preserve">.  </w:t>
            </w:r>
            <w:r w:rsidR="00D32A9D">
              <w:t>Drugs of abuse is also covered in S-6 and M3 clerkships</w:t>
            </w:r>
            <w:r w:rsidR="00260483">
              <w:t>, could use more M2 coverage.</w:t>
            </w:r>
          </w:p>
          <w:p w:rsidR="00911453" w:rsidRDefault="00911453" w:rsidP="00911453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HB-2 covers peripheral nerves, S-5 covers MSK/fracture related syndromes</w:t>
            </w:r>
          </w:p>
          <w:p w:rsidR="00914DC9" w:rsidRDefault="008E56E7" w:rsidP="00507A0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lastRenderedPageBreak/>
              <w:t>A</w:t>
            </w:r>
            <w:r w:rsidR="00185425">
              <w:t xml:space="preserve">nesthesia </w:t>
            </w:r>
            <w:r>
              <w:t>appears to be adequately covered – an SLM on local anesthesia needs to be maintained in either S5 or S6 courses.</w:t>
            </w:r>
          </w:p>
          <w:p w:rsidR="001E647C" w:rsidRDefault="001E647C" w:rsidP="00507A0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Potential to move OSCE earlier and adjust S-5 and S-6</w:t>
            </w:r>
            <w:r w:rsidR="00734564">
              <w:t xml:space="preserve"> with neuro content tested in written exams during S6/P2 and practical exams deferred to M3 clerkship OSCEs</w:t>
            </w:r>
          </w:p>
        </w:tc>
        <w:tc>
          <w:tcPr>
            <w:tcW w:w="1960" w:type="dxa"/>
            <w:shd w:val="clear" w:color="auto" w:fill="auto"/>
            <w:tcMar>
              <w:left w:w="93" w:type="dxa"/>
            </w:tcMar>
          </w:tcPr>
          <w:p w:rsidR="00E52849" w:rsidRDefault="00734564">
            <w:pPr>
              <w:numPr>
                <w:ilvl w:val="0"/>
                <w:numId w:val="1"/>
              </w:numPr>
              <w:spacing w:after="0"/>
            </w:pPr>
            <w:r>
              <w:lastRenderedPageBreak/>
              <w:t>Dr Kibble will coordinate with respective module directors and report back in Spring with any proposed changes for AY 2017-2018</w:t>
            </w:r>
          </w:p>
          <w:p w:rsidR="00C413D7" w:rsidRDefault="00C413D7">
            <w:pPr>
              <w:numPr>
                <w:ilvl w:val="0"/>
                <w:numId w:val="1"/>
              </w:numPr>
              <w:spacing w:after="0"/>
            </w:pPr>
            <w:r>
              <w:t>LCT in Medical Nutrition will be engaged to determine best coverage of vitamins</w:t>
            </w:r>
          </w:p>
        </w:tc>
      </w:tr>
    </w:tbl>
    <w:p w:rsidR="00430F3C" w:rsidRDefault="00430F3C">
      <w:pPr>
        <w:spacing w:after="0" w:line="264" w:lineRule="auto"/>
      </w:pPr>
    </w:p>
    <w:sectPr w:rsidR="00430F3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71AFC"/>
    <w:multiLevelType w:val="multilevel"/>
    <w:tmpl w:val="F0080F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36D06"/>
    <w:multiLevelType w:val="multilevel"/>
    <w:tmpl w:val="B75E2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3C"/>
    <w:rsid w:val="00000ECA"/>
    <w:rsid w:val="0001757B"/>
    <w:rsid w:val="00021F77"/>
    <w:rsid w:val="000446EE"/>
    <w:rsid w:val="000510C9"/>
    <w:rsid w:val="00075B05"/>
    <w:rsid w:val="000821D0"/>
    <w:rsid w:val="00082EE6"/>
    <w:rsid w:val="000A0D92"/>
    <w:rsid w:val="000B2DBE"/>
    <w:rsid w:val="000D0405"/>
    <w:rsid w:val="000F097D"/>
    <w:rsid w:val="00105478"/>
    <w:rsid w:val="00126B7B"/>
    <w:rsid w:val="00131DF5"/>
    <w:rsid w:val="0014411A"/>
    <w:rsid w:val="00185425"/>
    <w:rsid w:val="00193F75"/>
    <w:rsid w:val="001A0A07"/>
    <w:rsid w:val="001A2449"/>
    <w:rsid w:val="001B3479"/>
    <w:rsid w:val="001B5915"/>
    <w:rsid w:val="001D4469"/>
    <w:rsid w:val="001D69BF"/>
    <w:rsid w:val="001E647C"/>
    <w:rsid w:val="002130C3"/>
    <w:rsid w:val="00216937"/>
    <w:rsid w:val="00260483"/>
    <w:rsid w:val="002B0B3C"/>
    <w:rsid w:val="002B2F08"/>
    <w:rsid w:val="002D2C97"/>
    <w:rsid w:val="002D5EEF"/>
    <w:rsid w:val="002F4BC1"/>
    <w:rsid w:val="0034124E"/>
    <w:rsid w:val="00344FD6"/>
    <w:rsid w:val="003D3BF4"/>
    <w:rsid w:val="00417CE8"/>
    <w:rsid w:val="00430F3C"/>
    <w:rsid w:val="00446A90"/>
    <w:rsid w:val="004732A0"/>
    <w:rsid w:val="004A12B4"/>
    <w:rsid w:val="004A1C30"/>
    <w:rsid w:val="004A2639"/>
    <w:rsid w:val="004E33A6"/>
    <w:rsid w:val="00501C9B"/>
    <w:rsid w:val="00507A00"/>
    <w:rsid w:val="0052397A"/>
    <w:rsid w:val="00527FF3"/>
    <w:rsid w:val="00554DD1"/>
    <w:rsid w:val="00576378"/>
    <w:rsid w:val="00587122"/>
    <w:rsid w:val="005970FC"/>
    <w:rsid w:val="005C1992"/>
    <w:rsid w:val="005D2933"/>
    <w:rsid w:val="006272F5"/>
    <w:rsid w:val="0066060E"/>
    <w:rsid w:val="006C3CBD"/>
    <w:rsid w:val="006D6AC3"/>
    <w:rsid w:val="006F5DBA"/>
    <w:rsid w:val="0072073F"/>
    <w:rsid w:val="00734564"/>
    <w:rsid w:val="0076759B"/>
    <w:rsid w:val="00780940"/>
    <w:rsid w:val="007E0230"/>
    <w:rsid w:val="00890BAE"/>
    <w:rsid w:val="00894DEF"/>
    <w:rsid w:val="008C52FC"/>
    <w:rsid w:val="008E56E7"/>
    <w:rsid w:val="009042DD"/>
    <w:rsid w:val="00911453"/>
    <w:rsid w:val="00914DC9"/>
    <w:rsid w:val="0092175F"/>
    <w:rsid w:val="0094219B"/>
    <w:rsid w:val="00967801"/>
    <w:rsid w:val="00997035"/>
    <w:rsid w:val="009B6F8B"/>
    <w:rsid w:val="009B7241"/>
    <w:rsid w:val="009C300C"/>
    <w:rsid w:val="00A14BD3"/>
    <w:rsid w:val="00A44BF3"/>
    <w:rsid w:val="00A70FB1"/>
    <w:rsid w:val="00AB537C"/>
    <w:rsid w:val="00AB6D3F"/>
    <w:rsid w:val="00AF5A6E"/>
    <w:rsid w:val="00AF7B96"/>
    <w:rsid w:val="00B47C2C"/>
    <w:rsid w:val="00B67247"/>
    <w:rsid w:val="00BA1926"/>
    <w:rsid w:val="00C413D7"/>
    <w:rsid w:val="00C845F0"/>
    <w:rsid w:val="00CB6399"/>
    <w:rsid w:val="00CD5ABE"/>
    <w:rsid w:val="00CE0E17"/>
    <w:rsid w:val="00D02C26"/>
    <w:rsid w:val="00D17ECA"/>
    <w:rsid w:val="00D32A9D"/>
    <w:rsid w:val="00D33008"/>
    <w:rsid w:val="00D3751F"/>
    <w:rsid w:val="00D73E7C"/>
    <w:rsid w:val="00D77A28"/>
    <w:rsid w:val="00D80F1A"/>
    <w:rsid w:val="00D80FBC"/>
    <w:rsid w:val="00D83CBC"/>
    <w:rsid w:val="00DA2828"/>
    <w:rsid w:val="00DA4E84"/>
    <w:rsid w:val="00E52849"/>
    <w:rsid w:val="00E54B03"/>
    <w:rsid w:val="00E606C7"/>
    <w:rsid w:val="00E77400"/>
    <w:rsid w:val="00E8374C"/>
    <w:rsid w:val="00EC2CEF"/>
    <w:rsid w:val="00EF2551"/>
    <w:rsid w:val="00F115C5"/>
    <w:rsid w:val="00F13730"/>
    <w:rsid w:val="00F24450"/>
    <w:rsid w:val="00F71FEE"/>
    <w:rsid w:val="00F86602"/>
    <w:rsid w:val="00F931D5"/>
    <w:rsid w:val="00FE136F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DEF91-F18B-4BA7-AFE1-787BCAC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16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 w:val="0"/>
    </w:rPr>
  </w:style>
  <w:style w:type="character" w:customStyle="1" w:styleId="ListLabel9">
    <w:name w:val="ListLabel 9"/>
    <w:qFormat/>
    <w:rPr>
      <w:rFonts w:cs="Courier New"/>
      <w:b w:val="0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B16C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6CD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BB1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23EB-73C4-4973-B7BF-8095EEEC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Bellew</dc:creator>
  <cp:lastModifiedBy>Gladielise Borges</cp:lastModifiedBy>
  <cp:revision>2</cp:revision>
  <dcterms:created xsi:type="dcterms:W3CDTF">2017-05-03T15:06:00Z</dcterms:created>
  <dcterms:modified xsi:type="dcterms:W3CDTF">2017-05-03T15:06:00Z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