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AB537C">
        <w:rPr>
          <w:rFonts w:cstheme="minorHAnsi"/>
        </w:rPr>
        <w:t>10</w:t>
      </w:r>
      <w:r>
        <w:rPr>
          <w:rFonts w:cstheme="minorHAnsi"/>
        </w:rPr>
        <w:t>/1</w:t>
      </w:r>
      <w:r w:rsidR="00AB537C">
        <w:rPr>
          <w:rFonts w:cstheme="minorHAnsi"/>
        </w:rPr>
        <w:t>4</w:t>
      </w:r>
      <w:r>
        <w:rPr>
          <w:rFonts w:cstheme="minorHAnsi"/>
        </w:rPr>
        <w:t>/16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 3:03p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D80F1A">
        <w:rPr>
          <w:rFonts w:cstheme="minorHAnsi"/>
        </w:rPr>
        <w:t>4:11</w:t>
      </w:r>
      <w:r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AB537C">
        <w:rPr>
          <w:rFonts w:cstheme="minorHAnsi"/>
        </w:rPr>
        <w:t>Peppler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Attendance: </w:t>
      </w:r>
      <w:r w:rsidR="005970FC">
        <w:rPr>
          <w:rFonts w:cstheme="minorHAnsi"/>
        </w:rPr>
        <w:t xml:space="preserve">Dr. Peppler, Theresa Whitehead, Nadine Dexter, Dr. Selim, Dr. Bellew (M), Dr. Berman, Dr. Dil, Dr. Gorman, Dr. Topping, Dr. Davey, Dr. Gros, Dr. Beg, Andrea Berry, Dr. Husain, Allison Carli, </w:t>
      </w:r>
      <w:r w:rsidR="00CE0E17">
        <w:rPr>
          <w:rFonts w:cstheme="minorHAnsi"/>
        </w:rPr>
        <w:t xml:space="preserve">Dr. Harris, </w:t>
      </w:r>
      <w:r w:rsidR="00D80FBC">
        <w:rPr>
          <w:rFonts w:cstheme="minorHAnsi"/>
        </w:rPr>
        <w:t xml:space="preserve">Dr. Pasarica, </w:t>
      </w:r>
      <w:r w:rsidR="001B3479">
        <w:rPr>
          <w:rFonts w:cstheme="minorHAnsi"/>
        </w:rPr>
        <w:t xml:space="preserve">Dr. Hernandez, </w:t>
      </w:r>
      <w:r w:rsidR="00F931D5">
        <w:rPr>
          <w:rFonts w:cstheme="minorHAnsi"/>
        </w:rPr>
        <w:t xml:space="preserve">Dr. Castiglioni, </w:t>
      </w:r>
      <w:r w:rsidR="00446A90">
        <w:rPr>
          <w:rFonts w:cstheme="minorHAnsi"/>
        </w:rPr>
        <w:t xml:space="preserve">Dr. Bellew (C), Dr. Kibble, </w:t>
      </w:r>
      <w:r w:rsidR="005970FC">
        <w:rPr>
          <w:rFonts w:cstheme="minorHAnsi"/>
        </w:rPr>
        <w:t>Student reps</w:t>
      </w:r>
      <w:r w:rsidR="000821D0">
        <w:rPr>
          <w:rFonts w:cstheme="minorHAnsi"/>
        </w:rPr>
        <w:t xml:space="preserve"> (Haley and Mark)</w:t>
      </w:r>
      <w:r w:rsidR="005970FC">
        <w:rPr>
          <w:rFonts w:cstheme="minorHAnsi"/>
        </w:rPr>
        <w:t xml:space="preserve">, 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753"/>
        <w:gridCol w:w="8245"/>
        <w:gridCol w:w="2952"/>
      </w:tblGrid>
      <w:tr w:rsidR="00430F3C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430F3C" w:rsidRDefault="00AB537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430F3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Stricter procedures in testing centers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2130C3">
        <w:tc>
          <w:tcPr>
            <w:tcW w:w="175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AB537C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2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Fixed typo: data </w:t>
            </w:r>
            <w:r>
              <w:sym w:font="Wingdings" w:char="F0E0"/>
            </w:r>
            <w:r>
              <w:t xml:space="preserve"> date in motion to move FIRE conference</w:t>
            </w:r>
          </w:p>
        </w:tc>
        <w:tc>
          <w:tcPr>
            <w:tcW w:w="295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AB537C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AB537C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AB537C" w:rsidRDefault="00AB537C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M2 is in endocrine/reproductive and catching up with other obligations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430F3C" w:rsidRDefault="00AB537C">
            <w:pPr>
              <w:spacing w:after="0" w:line="264" w:lineRule="auto"/>
            </w:pPr>
            <w:r>
              <w:t>Feedback for class reps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430F3C" w:rsidRDefault="00AB537C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Supplement to focus groups, due to fewer opportunities to have them</w:t>
            </w:r>
          </w:p>
          <w:p w:rsidR="00AB537C" w:rsidRDefault="005970FC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Qualtrix link </w:t>
            </w:r>
            <w:r w:rsidR="00AB537C">
              <w:t>in Webcourses for class to submit feedback directly to class reps, details worked out with FCC</w:t>
            </w:r>
          </w:p>
          <w:p w:rsidR="00AB537C" w:rsidRDefault="00AB537C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Concern with quality of feedback</w:t>
            </w:r>
            <w:r w:rsidR="000821D0">
              <w:t xml:space="preserve"> and procedure</w:t>
            </w:r>
          </w:p>
          <w:p w:rsidR="005970FC" w:rsidRDefault="005970FC" w:rsidP="005970F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reps screen feedback</w:t>
            </w:r>
          </w:p>
          <w:p w:rsidR="005970FC" w:rsidRDefault="005970FC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Security of information</w:t>
            </w:r>
          </w:p>
          <w:p w:rsidR="000821D0" w:rsidRDefault="000821D0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Not a replacement for module evaluations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CE0E17" w:rsidRDefault="00CE0E17" w:rsidP="00CE0E17">
            <w:pPr>
              <w:spacing w:after="0" w:line="264" w:lineRule="auto"/>
            </w:pPr>
            <w:r>
              <w:t>GQ and benchmarking – supplemental report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CE0E17" w:rsidRDefault="00CE0E17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Perspective </w:t>
            </w:r>
            <w:r w:rsidR="0066060E">
              <w:t xml:space="preserve">of performance </w:t>
            </w:r>
            <w:r>
              <w:t>against national percentiles</w:t>
            </w:r>
            <w:r w:rsidR="00D17ECA">
              <w:t>, as a tool for gauging performance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CE0E17" w:rsidRDefault="00CE0E17">
            <w:pPr>
              <w:numPr>
                <w:ilvl w:val="0"/>
                <w:numId w:val="1"/>
              </w:numPr>
              <w:spacing w:after="0"/>
            </w:pPr>
          </w:p>
        </w:tc>
      </w:tr>
      <w:tr w:rsidR="00430F3C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430F3C" w:rsidRDefault="004732A0">
            <w:pPr>
              <w:spacing w:after="0" w:line="264" w:lineRule="auto"/>
            </w:pPr>
            <w:r>
              <w:t>Out of class work and assessment policies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430F3C" w:rsidRDefault="00501C9B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Numbers refer to specific element in their standards.</w:t>
            </w:r>
          </w:p>
          <w:p w:rsidR="00501C9B" w:rsidRDefault="00501C9B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Standard format for the policies</w:t>
            </w:r>
          </w:p>
          <w:p w:rsidR="00501C9B" w:rsidRDefault="004A1C30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Out of class work</w:t>
            </w:r>
          </w:p>
          <w:p w:rsidR="004A1C30" w:rsidRDefault="004A1C30" w:rsidP="004A1C3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>Grade release</w:t>
            </w:r>
          </w:p>
          <w:p w:rsidR="004A1C30" w:rsidRDefault="004A1C30" w:rsidP="00F931D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P-2 OSCE: Not for one day.  </w:t>
            </w:r>
            <w:r w:rsidR="00F931D5">
              <w:t>Change: p</w:t>
            </w:r>
            <w:r>
              <w:t>olicy applies two weeks after the end of the module</w:t>
            </w:r>
            <w:r w:rsidR="00F931D5">
              <w:t xml:space="preserve"> (consistent with clerkships)</w:t>
            </w:r>
            <w:r w:rsidR="0052397A">
              <w:t>, absent extenuating circumstances</w:t>
            </w:r>
          </w:p>
          <w:p w:rsidR="00F931D5" w:rsidRDefault="002B0B3C" w:rsidP="003D3BF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Narrative assessment</w:t>
            </w:r>
          </w:p>
          <w:p w:rsidR="002B0B3C" w:rsidRDefault="00B67247" w:rsidP="002B0B3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Requirement per module to meet standard, details</w:t>
            </w:r>
            <w:r w:rsidR="00105478">
              <w:t xml:space="preserve"> and implication</w:t>
            </w:r>
            <w:r>
              <w:t xml:space="preserve"> of “when student interaction permits”</w:t>
            </w:r>
          </w:p>
          <w:p w:rsidR="004A12B4" w:rsidRDefault="004A12B4" w:rsidP="002B0B3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Current method of capture is not systematic</w:t>
            </w:r>
          </w:p>
          <w:p w:rsidR="008C52FC" w:rsidRDefault="008C52FC" w:rsidP="008C52F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Formative assessment and feedback</w:t>
            </w:r>
          </w:p>
          <w:p w:rsidR="008C52FC" w:rsidRDefault="008C52FC" w:rsidP="008C52F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M3/M4</w:t>
            </w:r>
            <w:r w:rsidR="000B2DBE">
              <w:t xml:space="preserve"> meeting</w:t>
            </w:r>
            <w:r>
              <w:t xml:space="preserve"> </w:t>
            </w:r>
            <w:r w:rsidR="000B2DBE">
              <w:t xml:space="preserve">amendment: </w:t>
            </w:r>
            <w:r>
              <w:t xml:space="preserve">midpoint </w:t>
            </w:r>
            <w:r>
              <w:sym w:font="Wingdings" w:char="F0E0"/>
            </w:r>
            <w:r>
              <w:t xml:space="preserve"> approximate midpoint</w:t>
            </w:r>
          </w:p>
          <w:p w:rsidR="000B2DBE" w:rsidRDefault="0001757B" w:rsidP="008C52FC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4 ho</w:t>
            </w:r>
            <w:r w:rsidR="006D6AC3">
              <w:t>urs or less requirement for mid-</w:t>
            </w:r>
            <w:r>
              <w:t>course feedback vs weekly</w:t>
            </w:r>
          </w:p>
          <w:p w:rsidR="00890BAE" w:rsidRDefault="00890BAE" w:rsidP="00890BAE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Amendment: 4 hours per student or less</w:t>
            </w:r>
          </w:p>
          <w:p w:rsidR="00EF2551" w:rsidRDefault="00EF2551" w:rsidP="00EF255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assignment to clinical sites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430F3C" w:rsidRDefault="004A1C30">
            <w:pPr>
              <w:numPr>
                <w:ilvl w:val="0"/>
                <w:numId w:val="1"/>
              </w:numPr>
              <w:spacing w:after="0"/>
            </w:pPr>
            <w:r>
              <w:lastRenderedPageBreak/>
              <w:t>Out of class approved</w:t>
            </w:r>
            <w:r w:rsidR="00EF2551">
              <w:t xml:space="preserve"> unanimously</w:t>
            </w:r>
          </w:p>
          <w:p w:rsidR="004A1C30" w:rsidRDefault="003D3BF4">
            <w:pPr>
              <w:numPr>
                <w:ilvl w:val="0"/>
                <w:numId w:val="1"/>
              </w:numPr>
              <w:spacing w:after="0"/>
            </w:pPr>
            <w:r>
              <w:lastRenderedPageBreak/>
              <w:t>Grade release approved</w:t>
            </w:r>
            <w:r w:rsidR="00EF2551">
              <w:t xml:space="preserve"> unanimously</w:t>
            </w:r>
            <w:r>
              <w:t xml:space="preserve"> after updates</w:t>
            </w:r>
          </w:p>
          <w:p w:rsidR="004A12B4" w:rsidRDefault="008C52FC">
            <w:pPr>
              <w:numPr>
                <w:ilvl w:val="0"/>
                <w:numId w:val="1"/>
              </w:numPr>
              <w:spacing w:after="0"/>
            </w:pPr>
            <w:r>
              <w:t>Narrative assessment approved</w:t>
            </w:r>
            <w:r w:rsidR="00EF2551">
              <w:t xml:space="preserve"> unanimously</w:t>
            </w:r>
          </w:p>
          <w:p w:rsidR="00EF2551" w:rsidRDefault="00EF2551">
            <w:pPr>
              <w:numPr>
                <w:ilvl w:val="0"/>
                <w:numId w:val="1"/>
              </w:numPr>
              <w:spacing w:after="0"/>
            </w:pPr>
            <w:r>
              <w:t>Formative assessment and feedback approved unanimously after two amendments</w:t>
            </w:r>
          </w:p>
        </w:tc>
      </w:tr>
      <w:tr w:rsidR="00E52849" w:rsidTr="002130C3">
        <w:tc>
          <w:tcPr>
            <w:tcW w:w="1753" w:type="dxa"/>
            <w:shd w:val="clear" w:color="auto" w:fill="auto"/>
            <w:tcMar>
              <w:left w:w="93" w:type="dxa"/>
            </w:tcMar>
          </w:tcPr>
          <w:p w:rsidR="00E52849" w:rsidRDefault="00E52849">
            <w:pPr>
              <w:spacing w:after="0" w:line="264" w:lineRule="auto"/>
            </w:pPr>
            <w:r>
              <w:lastRenderedPageBreak/>
              <w:t>Other business</w:t>
            </w:r>
          </w:p>
        </w:tc>
        <w:tc>
          <w:tcPr>
            <w:tcW w:w="8245" w:type="dxa"/>
            <w:shd w:val="clear" w:color="auto" w:fill="auto"/>
            <w:tcMar>
              <w:left w:w="93" w:type="dxa"/>
            </w:tcMar>
          </w:tcPr>
          <w:p w:rsidR="00E52849" w:rsidRDefault="00E52849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October 27/28 – tour for university from Poland</w:t>
            </w:r>
          </w:p>
          <w:p w:rsidR="00E52849" w:rsidRDefault="00E52849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April retreat – availability of study space for students</w:t>
            </w:r>
            <w:r w:rsidR="00997035">
              <w:t>, now that we have full size classes</w:t>
            </w:r>
          </w:p>
          <w:p w:rsidR="00131DF5" w:rsidRDefault="00131DF5" w:rsidP="00131DF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COM 302 and 304 </w:t>
            </w:r>
            <w:r w:rsidR="00780940">
              <w:t>availabilities</w:t>
            </w:r>
            <w:r>
              <w:t xml:space="preserve"> after hours</w:t>
            </w:r>
          </w:p>
          <w:p w:rsidR="00780940" w:rsidRDefault="00780940" w:rsidP="0078094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UVI: If approved will turn over formative/summative assessments</w:t>
            </w:r>
          </w:p>
        </w:tc>
        <w:tc>
          <w:tcPr>
            <w:tcW w:w="2952" w:type="dxa"/>
            <w:shd w:val="clear" w:color="auto" w:fill="auto"/>
            <w:tcMar>
              <w:left w:w="93" w:type="dxa"/>
            </w:tcMar>
          </w:tcPr>
          <w:p w:rsidR="00E52849" w:rsidRDefault="00E52849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1757B"/>
    <w:rsid w:val="000821D0"/>
    <w:rsid w:val="000B2DBE"/>
    <w:rsid w:val="00105478"/>
    <w:rsid w:val="00131DF5"/>
    <w:rsid w:val="001B3479"/>
    <w:rsid w:val="002130C3"/>
    <w:rsid w:val="002B0B3C"/>
    <w:rsid w:val="003D3BF4"/>
    <w:rsid w:val="00430F3C"/>
    <w:rsid w:val="00446A90"/>
    <w:rsid w:val="004732A0"/>
    <w:rsid w:val="004A12B4"/>
    <w:rsid w:val="004A1C30"/>
    <w:rsid w:val="004A2639"/>
    <w:rsid w:val="00501C9B"/>
    <w:rsid w:val="0052397A"/>
    <w:rsid w:val="00554DD1"/>
    <w:rsid w:val="005970FC"/>
    <w:rsid w:val="0066060E"/>
    <w:rsid w:val="006D6AC3"/>
    <w:rsid w:val="00780940"/>
    <w:rsid w:val="007B66D0"/>
    <w:rsid w:val="00890BAE"/>
    <w:rsid w:val="008C52FC"/>
    <w:rsid w:val="00997035"/>
    <w:rsid w:val="00A44BF3"/>
    <w:rsid w:val="00AB537C"/>
    <w:rsid w:val="00B67247"/>
    <w:rsid w:val="00CE0E17"/>
    <w:rsid w:val="00D17ECA"/>
    <w:rsid w:val="00D3751F"/>
    <w:rsid w:val="00D80F1A"/>
    <w:rsid w:val="00D80FBC"/>
    <w:rsid w:val="00DA2828"/>
    <w:rsid w:val="00E52849"/>
    <w:rsid w:val="00EF255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217D-AE9C-4144-80B4-828EF1C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2017-05-03T15:22:00Z</dcterms:created>
  <dcterms:modified xsi:type="dcterms:W3CDTF">2017-05-03T15:22:00Z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